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DD" w:rsidRPr="000D6B0E" w:rsidRDefault="001356DD" w:rsidP="000D6B0E">
      <w:pPr>
        <w:rPr>
          <w:rFonts w:ascii="Times New Roman" w:hAnsi="Times New Roman" w:cs="Times New Roman"/>
          <w:sz w:val="24"/>
        </w:rPr>
      </w:pPr>
    </w:p>
    <w:p w:rsidR="000D6B0E" w:rsidRPr="000D6B0E" w:rsidRDefault="000D6B0E" w:rsidP="000D6B0E">
      <w:pPr>
        <w:rPr>
          <w:rFonts w:ascii="Times New Roman" w:hAnsi="Times New Roman" w:cs="Times New Roman"/>
          <w:sz w:val="24"/>
        </w:rPr>
      </w:pPr>
    </w:p>
    <w:p w:rsidR="000D6B0E" w:rsidRPr="000D6B0E" w:rsidRDefault="003F04A0" w:rsidP="000D6B0E">
      <w:pPr>
        <w:spacing w:line="36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ANEXA 3</w:t>
      </w:r>
      <w:bookmarkStart w:id="0" w:name="_GoBack"/>
      <w:bookmarkEnd w:id="0"/>
      <w:r w:rsidR="000D6B0E" w:rsidRPr="000D6B0E">
        <w:rPr>
          <w:rFonts w:ascii="Times New Roman" w:hAnsi="Times New Roman" w:cs="Times New Roman"/>
          <w:b/>
          <w:sz w:val="24"/>
        </w:rPr>
        <w:t xml:space="preserve"> </w:t>
      </w:r>
    </w:p>
    <w:p w:rsidR="000D6B0E" w:rsidRPr="000D6B0E" w:rsidRDefault="000D6B0E" w:rsidP="000D6B0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D6B0E" w:rsidRPr="000D6B0E" w:rsidRDefault="000D6B0E" w:rsidP="000D6B0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D6B0E">
        <w:rPr>
          <w:rFonts w:ascii="Times New Roman" w:hAnsi="Times New Roman" w:cs="Times New Roman"/>
          <w:b/>
          <w:sz w:val="24"/>
        </w:rPr>
        <w:t>CODURI CAEN ELIGIBILE</w:t>
      </w:r>
      <w:r w:rsidRPr="000D6B0E">
        <w:rPr>
          <w:rFonts w:ascii="Times New Roman" w:hAnsi="Times New Roman" w:cs="Times New Roman"/>
          <w:sz w:val="24"/>
        </w:rPr>
        <w:t xml:space="preserve"> </w:t>
      </w:r>
    </w:p>
    <w:p w:rsidR="000D6B0E" w:rsidRPr="000D6B0E" w:rsidRDefault="000D6B0E" w:rsidP="000D6B0E">
      <w:pPr>
        <w:spacing w:line="360" w:lineRule="auto"/>
        <w:rPr>
          <w:rFonts w:ascii="Times New Roman" w:hAnsi="Times New Roman" w:cs="Times New Roman"/>
          <w:sz w:val="24"/>
        </w:rPr>
      </w:pPr>
    </w:p>
    <w:p w:rsidR="000D6B0E" w:rsidRPr="000D6B0E" w:rsidRDefault="000D6B0E" w:rsidP="000D6B0E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0D6B0E">
        <w:rPr>
          <w:rFonts w:ascii="Times New Roman" w:hAnsi="Times New Roman" w:cs="Times New Roman"/>
          <w:sz w:val="24"/>
        </w:rPr>
        <w:tab/>
      </w:r>
      <w:r w:rsidRPr="000D6B0E">
        <w:rPr>
          <w:rFonts w:ascii="Times New Roman" w:hAnsi="Times New Roman" w:cs="Times New Roman"/>
          <w:b/>
          <w:sz w:val="24"/>
        </w:rPr>
        <w:t>Coduri CAEN eligibile:</w:t>
      </w:r>
    </w:p>
    <w:p w:rsidR="000D6B0E" w:rsidRPr="000D6B0E" w:rsidRDefault="000D6B0E" w:rsidP="000D6B0E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0D6B0E" w:rsidRPr="000D6B0E" w:rsidRDefault="000D6B0E" w:rsidP="000D6B0E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0D6B0E">
        <w:rPr>
          <w:rFonts w:ascii="Times New Roman" w:hAnsi="Times New Roman" w:cs="Times New Roman"/>
          <w:b/>
          <w:sz w:val="24"/>
        </w:rPr>
        <w:tab/>
        <w:t>I. Producție (industrie prelucrătoare) + cod 6201 IT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servicii anexe silviculturii - 0240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Extracția minereurilor feroase - 0710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Extracția altor minereuri metalifere neferoase - 0729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Extracția pietrei ornamentale li a pietrei pentru construcții, extracția pietrei calcaroase, gipsului, cretei și ardeziei – 0811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Extracția pietrișului și nisipului; extracția argilei și caolinului – 0812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Extracția mineralelor pentru industria chimică și îngrășămintelor naturale – 0891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Extracția sării – 0893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Alte activități extractive n.c.a. – 0899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Prelucrarea și conservarea cărnii de pasăre – 1012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produselor din carne (inclusiv din carne de pasăre) – 1013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Prelucrarea și conservarea peștelui, crustaceelor și moluștelor – 1020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Prelucrarea și conservarea cartofilor – 1031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sucurilor de fructe și legume – 1032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Prelucrarea și conservarea fructelor și legumelor n.c.a. – 1039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produselor lactate și a brânzeturilor – 1051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înghețatei - 1052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lastRenderedPageBreak/>
        <w:t>Fabricarea pâinii; fabricarea prăjiturilor și a produselor proaspete de patiserie – 1071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biscuiților și pișcoturilor; fabricarea prăjiturilor și a produselor conservate de patiserie – 1072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macaroanelor, tăițeilor, cus-cus-ului și a altor produse făinoase similare – 1073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zahărului – 1081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produselor din cacao, a ciocolatei și produselor zaharoase – 1082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Prelucrarea ceaiului și cafelei – 1083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condimentelor și ingredientelor – 1084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de mâncăruri preparate – 1085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preparatelor alimentare omogenizate și alimentelor dietetice – 1086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altor produse alimentare n.c.a. – 1089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preparatelor pentru hrana animalelor de companie – 1092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Producția de băuturi răcoritoare nealcoolice; producția de ape minerale și alte ape îmbuteliate - 1107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Pregătirea fibrelor și filarea fibrelor textile – 1310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Producția de țesături – 1320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Finisarea materialelor textile 1330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de metraje prin tricotare sau croșetare – 1391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Fabricarrea de articole confecționate din textile (cu excepția îmbrăcămintei și lenjeriei de corp) – 1392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de covoare și mochete – 1393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de odgoane, frânghii, sfori și plase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de textile nețesute și articole din acestea, cu excepția confecțiilor și îmbrăcămintei – 1395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 de articole tehnice și industriale din textile – 1396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lastRenderedPageBreak/>
        <w:t>Fabricarea altor articole textile n.c.a. – 1399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articolelor de îmbrăcăminte din piele – 1411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de articole de îmbrăcăminte pentru lucru – 1412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altor articole de îmbrăcăminte (exclusiv lenjeria de corp) - 1413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de articole de lenjerie de corp – 1414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altor articole de îmbrăcăminte și accesorii n.c.a. – 1419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articolelor din blană – 1420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prin tricotare sau croșetare a ciorapilor și articolelor de galanterie – 1431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prin tricotare sau croșetare a altor articole de îmbrăcăminte – 1439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Tăbăcirea și finisarea pieilor; prepararea și vopsirea blănurilor – 1511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articolelor de voiaj și marochinărie și a articolelor de harnașament – 1512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încălțămintei – 1520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Tăierea și rindeluirea lemnului – 1610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de furnire și a panourilor din lemn – 1621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parchetului asamblat în panouri – 1622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altor elemente de dulgherie și tâmplărie pentru coonstrucții – 1623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ambalajelor din lemn – 1624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altor produse din lemn; fabricarea articolelor din plută, paie și din alte materiale vegetale împletite – 1629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celulozei – 1711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hârtiei și cartonului – 1712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hârtiei și cartonului ondulat și a ambalajelor din hârtie și carton – 1721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produselor de uz gospodăresc și sanitar, din hârtie sau carton – 1722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articolelor de papetărie – 1723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lastRenderedPageBreak/>
        <w:t>Fabricarea tapetului – 1724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altor articole din hârtie și carton n.c.a. – 1729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Tipărirea ziarelor – 1811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Alte activități de tipărire n.c.a. – 1812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coloranților și a pigmenților – 2012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altor produse chimice anorganice, de bază – 2013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 altor produse chimice organice, de bază – 2014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îngrășămintelor și produselor azotoase – 2015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materialelor plastice în forme primare – 2016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cauciucului sintetic în forme primare – 2017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pesticidelor și a altor produse agrochimice – 2020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vopselelor, lacurilor, cernelii tipografice și masticurilor – 2030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săpunurilor, detergenților și a produselor de înterținere – 2041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parfumurilor și a produselor cosmetice (de toaletă) – 2042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cleiurilor – 2052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altor produse chimice n.c.a. – Cu excepția uleiurilor și grăsimilor modifivcate chimic (biodiesel și bioetanol) – 2059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fibrelor sintetice și artificiale – 2060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produselor farmaceutice de bază – 2110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preparatelor farmaceutice – 2120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anvelopelor și a camerelor de aer; reșaparea și refacerea anvelopelor – 2211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altor produse din cauciuc – 2219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plăcilor, foliilor, tuburilor și profilelor din materiale plastic – 2221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articolelor de ambalaj din material plastic – 2222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articolelor din material plastic pentru construcții – 2223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altor produse din material plastic – 2229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lastRenderedPageBreak/>
        <w:t>Fabricarea sticlei plate – 2311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Prelucrarea și fasonarea sticlei plate – 2312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articolelor din sticlă – 2313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fibrelor din sticlă – 2314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de sticlărie tehnică – 2319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de produse refractare – 2320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plăcilor și dalelor din ceramică – 2331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cărămizilor, țiglelor și altor produse pentru construcții, din argilă arsă – 2332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articolelor ceramice pentru uz gospodăresc și ornamental – 2341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de obiiecte sanitare din ceramică – 2342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izolatorilor și pieselor izolante din ceramică – 2343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altor produse tehnice din ceramică – 2344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altor produse ceramice n.c.a. – 2349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cimentului – 2351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varului și a ipsosului – 2352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produselor din beton pentru construcții – 2361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produselor din ipsos pentru construcții – 2362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betonului – 2363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mortarului – 2364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produselor din azbociment – 2365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altor articole din beton, ciment și ipsos – 2369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Tăierea, fasonarea și finisarea pietrei – 2370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de produse abrazive – 2391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altor produse din minerale nemetalice n.c.a. – 2399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Producția de metale feroase sub forme primare și de feroaliaje – 2410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lastRenderedPageBreak/>
        <w:t>Producția de tuburi, țevi, profile tubulare și accesorii pentru acestea, din oțel – 2420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Tragere la rece a barelor – 2431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Laminarea la rece a benzilor înguste – 2432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Producția de profile obținute la rece – 2433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Trefilarea firelor la rece – 2434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Producția metalelor prețioase – 2441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Metalurgia aluminiului – 2442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Producția plumbului, zincului și cositorului – 2443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Metalurgia cuprului – 2444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Producția altor metale neferoase – 2445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Turnarea fontei -2451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Turnarea oțelului – 2452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Turnarea metalelor neferoase ușoare – 2453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Turnarea altor metale neferoase – 2454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de construcții metalice și părți componente ale structurilor metalice – 2511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de uși și ferestre din metal – 2512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Producția de radiatoare și cazane pentru încălzire centrală – 2521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Producția de rezervoare, cisterne și containere metalice – 2529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Producția generatoarelor de aburi (cu excepția cazanelor pentru încălzire centrală) – 2530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produselor metalice obținute prin deformare plastică; metalurgia pulberilor – 2550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Tratarea și acoperirea metalelor – 2561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Operațiuni de mecanică generală – 2562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produselor de tăiat – 2571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lastRenderedPageBreak/>
        <w:t>Fabricarea articolelor de feronerie – 2572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uneltelor – 2573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de recipienți, containere și alte produse similare din oțel – 2591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ambalajelor ușoare din metal – 2592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atrticolelor din fire metalice; fabricarea de lanțuri și arcuri – 2593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de șuruburi, buloane și alte articole filetate; fabricarea de nituri și șaibe – 2594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altor articole din metal n.c.a. – 2599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subansamblurilor electronice (module) – 2611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altor componente electronice – 2612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calculatoarelor și a echipamentelor periferice – 2620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echipamentelor de comunicații – 2630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produselor electronice de larg consum – 2640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de instrumente și dispozitive pentru măsură, verificare, control, navigație – 2651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Producția de ceasuri – 2652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de echipamente pentru radiologie, electrodiagnostic și electroterapie – 2660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de instrumente optice și echipamente fotografice – 2670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suporților magnetici și optici destinați înregistrărilor – 2680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motoarelor, generatoarelor și transformatoarelor electrice – 2711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aparatelor de distribuție și control a electricității – 2712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de acumulatori și baterii – 2720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de cabluri cu fibră optică – 2731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altor fire și cabluri electrice și electronice – 2732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dispozitivelor de conexiune pentru fire și cabluri electrice și electronice – 2733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lastRenderedPageBreak/>
        <w:t>Fabricarea de echipamente electrice de iluminat – 2740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de aparate electrocasnice – 2751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de echipamente casnice neelectrice – 2752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altor echipamente electrice – 2790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de motoare și turbine – 2811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de motoare hidraulice – 2812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de pompe și compresoare – 2813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de articole de robinetărie – 2814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lagărelor, angrenajelor, cutiilor de viteză și a elementelor mecanice de transmisie – 2815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cuptoarelor, furnalelor și arzătoarelor – 2821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echipamentelor de ridicat și manipulat – 2822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mașinilor și echipamentelor de birou (exclusiv fabricarea calculatoarelor și a echipamentelor periferice) – 2823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mașinilor-unelte portabile acționat electric – 2824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echipamentelor de ventilație și frigorifice, exclusiv a echipamentelor de uz casnic – 2825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 altor mașini și utilaje de utilizare generală n.c.a. – 2829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mașinilor și utilajelor pentru agricultură și exploatări forestiere – 2830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utilajelor și a mașinilor-unelte pentru prelucrarea metalului – 2841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altor mașini-unelte n.c.a. – 2849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utilajelor pentru metalurgie – 2891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utilajelor pentru extracție și construcții – 2892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utilajelor pentru prelucrarea produselor alimentare, băuturilor și tutunului – 2893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lastRenderedPageBreak/>
        <w:t>Fabricarea utilajelor pentru industria textilă, a îmbrăcămintei și a pielăriei – 2894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utilajelor pentru industria hârtiei și cartonului – 2895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utilajelor pentru prelucrarea maselor plastice și a cauciucului – 2896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altor mașini și utilaje specifice n.c.a. – 2899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autovehiculelor de transport rutier – 2910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Producția de caroserii pentru autovehicule; fabricarea de remorci și semiremorci - 20920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de echipamente electrice și electronice pentru autovehicule și motoare de autovehicule – 2931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altor piese și accesorii pentru autovehicule și pentru motoare de autovehicule – 2932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Construcția de nave și structuri plutitoare – 3011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Construcția de ambarcațiuni sportive și de agrement – 3012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materialului rulant – 3020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de aeronave și nave spațiale – 3030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de motociclete – 3091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de biciclete și de vehicule pentru invalizi – 3092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altor mijloace de transport n.c.a.</w:t>
      </w:r>
      <w:r w:rsidRPr="000D6B0E">
        <w:rPr>
          <w:rFonts w:ascii="Times New Roman" w:hAnsi="Times New Roman" w:cs="Times New Roman"/>
          <w:sz w:val="24"/>
        </w:rPr>
        <w:tab/>
        <w:t>- 3099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de mobilă pentru birouri și magazine – 3101</w:t>
      </w:r>
      <w:r w:rsidRPr="000D6B0E">
        <w:rPr>
          <w:rFonts w:ascii="Times New Roman" w:hAnsi="Times New Roman" w:cs="Times New Roman"/>
          <w:sz w:val="24"/>
        </w:rPr>
        <w:tab/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de mobilă pentru bucătării – 3102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de saltele și somiere – 3103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de mobilă n.c.a. – 3109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bijuteriilor și articolelor similare din metal și pietre prețioase – 3212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imitațiilor de bijuterii și articole similare – 3213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instrumentelor muzicale – 3220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articolelor pentru sport – 3230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lastRenderedPageBreak/>
        <w:t>Fabricarea jocurilor și jucăriilor – 3240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de dispozitive, aparate și instrumente medicale stomatologice - 3250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 măturilor și periilor – 3291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Fabricarea altor produse manufacturiere n.c.a. – 3299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Tratarea și eliminarea deșeurilor nepericuloase cu excepția producției de înlocuitori de combustibili și biogaz – 3821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Tratarea și eliminarea deșeurilor periculoase cu excepția deșeurilor nucleare radioactive – 3822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Recuperarea materialelor reciclabile sortate – 3832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realizare a softului la comandă (software oorientat client) – 6201</w:t>
      </w:r>
    </w:p>
    <w:p w:rsidR="000D6B0E" w:rsidRPr="000D6B0E" w:rsidRDefault="000D6B0E" w:rsidP="000D6B0E">
      <w:pPr>
        <w:spacing w:line="360" w:lineRule="auto"/>
        <w:rPr>
          <w:rFonts w:ascii="Times New Roman" w:hAnsi="Times New Roman" w:cs="Times New Roman"/>
          <w:sz w:val="24"/>
        </w:rPr>
      </w:pPr>
    </w:p>
    <w:p w:rsidR="000D6B0E" w:rsidRPr="000D6B0E" w:rsidRDefault="000D6B0E" w:rsidP="000D6B0E">
      <w:pPr>
        <w:spacing w:line="360" w:lineRule="auto"/>
        <w:ind w:left="708"/>
        <w:rPr>
          <w:rFonts w:ascii="Times New Roman" w:hAnsi="Times New Roman" w:cs="Times New Roman"/>
          <w:b/>
          <w:sz w:val="24"/>
        </w:rPr>
      </w:pPr>
      <w:r w:rsidRPr="000D6B0E">
        <w:rPr>
          <w:rFonts w:ascii="Times New Roman" w:hAnsi="Times New Roman" w:cs="Times New Roman"/>
          <w:b/>
          <w:sz w:val="24"/>
        </w:rPr>
        <w:t>II. Industrii creative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editare a cărților – 5811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editare de ghiduri, compendii, liste de adrese și similare – 5812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editare a ziarelor – 5813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editare a revistelor și periodicelor – 5814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Alte activități de editare – 5819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editare a jocurilor de calculator – 5821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editare a altor produse software – 5829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producție cinematografică, video și de programe de televiziune – 5911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post-producție cinematografică, video și de programe de televiziune – 5912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distribuție a filmelor cinematografice, video și a programelor de televiziune – 5913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Proiecție de filme cinematografice – 5914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lastRenderedPageBreak/>
        <w:t>Activități de realizare a înregistrărilor audio și activități de editare muzicală – 5920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consultanță în tehnologia informației – 6202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management (gestiune și exploatare) a mijloacelor de calcul – 6203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Alte activități de servicii privind tehnologia informației – 6209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Prelucrarea datelor, administrarea paginilor web și activități conexe – 6311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ale portalurilor web – 6312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ale agențiilor de știri – 6391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Alte activități de servicii informaționale n.c.a. – 6399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arhitectură – 7111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inginerie și consultanță tehnică legate de acestea – 7112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testări și analize tehnice – 7120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Cercetare-dezvoltare în biotehnologie – 7211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Cercetare-dezvoltare în alte științe naturale și inginerie – 7219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Cercetare-dezvoltare în științe sociale și umaniste – 7220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ale agențiilor de publicitate – 7311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Servicii de reprezentare media – 7312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studiere a pieței și de sondare a opiniei publice – 7320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design specializat – 7410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fotografice – 7420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traducere scrisă și orală (interpreți) – 7430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 xml:space="preserve">Alte activități profesionale, științifice și tehnice n.c.a. cu excepția: activităților de brokeraj pentru întreprinderi, adică aranjamente pentru cumpărarea și vânzarea de întreprinderi mici și mijlocii, inclusiv a experienței profesionale, dar neincluzând activitățile de brokeraj pentru bunuri imobiliare; activități de brokeraj pentru brevete (aranjamente pentru cumpărarea și vânzarea de </w:t>
      </w:r>
      <w:r w:rsidRPr="000D6B0E">
        <w:rPr>
          <w:rFonts w:ascii="Times New Roman" w:hAnsi="Times New Roman" w:cs="Times New Roman"/>
          <w:sz w:val="24"/>
        </w:rPr>
        <w:lastRenderedPageBreak/>
        <w:t>brevete); activități de evaluare, altele decât pentru bunuri imobiliare și asigurări (pentru antichități, bijuterii, etc.); auditarea facturilor și a rapoartelor privind mărfurile - 7490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Învățământ preșcolar – 8510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Învățământ primar - 8520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Învățământ secundar general – 8531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Învățământ secundar, tehnic sau profesional – 8532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Învățământ superior non-universitar – 8541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Învățământ superior universitar – 8542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Învățământ în domeniul sportiv și recreațional – 8551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Învățământ în domeniul cultural (limbi străine, muzică, teatru, dans, arte plastice, etc.) – 8552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Școli de conducere (pilotaj) – 8553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Alte forme de învățământ n.c.a. – 8559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servicii suport pentru învățământ – 8560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asistență spitalicească – 8610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asistență medicală generală – 8621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asistență medicală specializată – 8622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asistență stomatologică – 8623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Alte activități referitoare la sănătatea umană – 8690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ale centrelor de îngrijire medicală – 8710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ale centrelor de recuperare psihică și de dezintoxicare, exclusiv spitale – 8720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ale căminelor de bătrâni și ale căminelor pentru persoane aflate în incapacitate de a se îngriji singure – 8730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Alte activități de asistență socială cu cazare n.c.a. – 8790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interpretare artistică (spectacole) – 9001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lastRenderedPageBreak/>
        <w:t>Activități suport pentru interpretare artistică (spectacole) – 9002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creație artistică – 9003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gestionare a sălilor de spectacole – 9004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ale bibliotecilor și arhivelor – 9101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ale muzeelor – 9102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Gestionarea monumentelor, clădirilor istorice și a altor obiective de interes turistic – 9103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ale grădinilor zoologice, botanice și ale rezervațiilor naturale – 9104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ale bazelor sportive – 9311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ale cluburilor sportive – 9312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ale centrelor de fitness – 9313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Alte activități sportive – 9319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Bâlciuri și parcuri de distracții – 9321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Alte activități recreative și distractive n.c.a. – 9329</w:t>
      </w:r>
    </w:p>
    <w:p w:rsidR="000D6B0E" w:rsidRPr="000D6B0E" w:rsidRDefault="000D6B0E" w:rsidP="000D6B0E">
      <w:pPr>
        <w:spacing w:line="360" w:lineRule="auto"/>
        <w:rPr>
          <w:rFonts w:ascii="Times New Roman" w:hAnsi="Times New Roman" w:cs="Times New Roman"/>
          <w:sz w:val="24"/>
        </w:rPr>
      </w:pPr>
    </w:p>
    <w:p w:rsidR="000D6B0E" w:rsidRPr="000D6B0E" w:rsidRDefault="000D6B0E" w:rsidP="000D6B0E">
      <w:pPr>
        <w:spacing w:line="360" w:lineRule="auto"/>
        <w:ind w:left="708"/>
        <w:rPr>
          <w:rFonts w:ascii="Times New Roman" w:hAnsi="Times New Roman" w:cs="Times New Roman"/>
          <w:b/>
          <w:sz w:val="24"/>
        </w:rPr>
      </w:pPr>
      <w:r w:rsidRPr="000D6B0E">
        <w:rPr>
          <w:rFonts w:ascii="Times New Roman" w:hAnsi="Times New Roman" w:cs="Times New Roman"/>
          <w:b/>
          <w:sz w:val="24"/>
        </w:rPr>
        <w:t>III. Servicii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Servicii pregătitoare pentru pretipărire – 1813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Legătorie și servicii conexe – 1814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Reproducerea înregistrărilor – 1820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Repararea articolelor fabricate din metal – 3311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Repararea mașinilor – 3312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Repararea echipamentelor electronice și optice – 3313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Repararea echipamentelor electrice – 3314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Repararea și întreținerea navelor și bărcilor – 3315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Repararea și întreținerea aeronavelor și navelor spațiale – 3316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Repararea și întreținerea altor echipamente de transport n.c.a. – 3317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Repararea altor echipamente – 3319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lastRenderedPageBreak/>
        <w:t>Instalarea mașinilor și echipamentelor industriale – 3320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Captarea, tratarea și distribuția apei – 3600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Colectarea și epurarea apelor uzate – 3700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Colectarea deșeurilor nepericuloase – 3811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Colectarea deșeurilor periculoase – 3812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Demolarea (dezasamblarea) mașinilor și echipamentelor scoase din uz pentru recuperarea materialelor – 3831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și servicii de decontaminare – 3900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Dezvoltare promovare imobiliară – 4110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Lucrări de construcții a clădirilor rezidențiale și nerezidențiale – 4120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Lucrări de construcții a drumurilor și autostrăzilor – 4211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Lucrări de construcții a căilor ferate de suprafață și subterane – 4212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Construcția de poduri și tuneluri – 4213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Lucrări de construcții a proiectelor utilitare pentru fluide – 4221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Lucrări de construcții a proiectelor utilitare pentru electricitate și telecomunicații – 4222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Construcții hidrotehnice – 4291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Lucrări de construcții a altor proiecte inginerești n.c.a. – 4299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Lucrări de demolare a construcțiilor – 4311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Lucrări de pregătire a terenului – 4312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Lucrări de foraj și sondaj pentru construcții – 4313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Lucrări de instalații electrice – 4321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Lucrări de instalații sanitare, de încălzire și de aer condiționat – 4322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Alte lucrări de instalații pentru construcții – 4329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Lucrări de ipsoserie – 4331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Lucrări de tâmplărie și dulgherie – 4332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Lucrări de pardosire și placare a pereților – 4333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lastRenderedPageBreak/>
        <w:t>Lucrări de vopsitorie, zugrăveli și montări geamuri – 4334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Alte lucrări de finisare – 4339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Lucrări de învelitori, șarpante și terase la construcții – 4391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Alte lucrări speciale de construcții n.c.a. – 4399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Întreținerea și repararea autovehiculelor – 4520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Transporturi interurbane de călători pe calea ferată – 4910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Transporturi urbane, suburbane și metropolitane de călători – 4931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Transportuir cu taxiuri – 4932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 xml:space="preserve"> Alte transporturi terestere de călători n.c.a. – 4939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Transporturi maritime și costiere de pasageri – 5010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Transporturi de pasageri pe căi navigabile interioare – 5030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Transporturi aeriene de pasageri – 5110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Transporturi spațiale - 5122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Depozitări – 5210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servicii anexe pentru transporturi terestre – 5221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servicii anexe pentru transpporturi pe apă – 5222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servicii anexe transporturilor aeriene – 5223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Manipulări – 5224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Alte activități anexe transporturilor – 5229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poștale desfășurate sub obligativitatea serviciului universal – 5310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Alte activități poștale și de curier – 5320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Hoteluri și alte facilități de cazare similare – 5510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Facilități de cazare pentru vacanțe și perioade de scurtă durată – 5520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Parcuri pentru rulote, campinguri și tabere – 5530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Alte servicii de cazare – 5590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Restaurante – 5610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alimentație (catering) pentru evenimente – 5621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lastRenderedPageBreak/>
        <w:t>Alte servicii de alimentație n.c.a. – 5629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difuzare a programelor radio – 6010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difuzare a programelor de televiziune – 6020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telecomunicații prin rețele cu cablu – 6110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telecomunicații prin rețele fără cablu (exclusiv prin satelit) – 6120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telecomunicații prin satelit – 6130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Alte activități de telecomunicații - 6190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asigurări de viață – 6511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Alte activități de asigurări (exceptând asigurările de viață) – 6512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reasigurare – 6520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evaluare a riscului de asigurare și a pagubelor – 6621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ale agențiilor și brokerilor de asigurări – 6622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Alte activități auxiliare activități de asigurări și fonduri de pensii – 6629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Cumpărare și vânzare de bunuri imobiliare proprii fără leasing – 6810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Închirierea și subînchirierea bunurilor imobiliare proprii sau în leasing cu excepție leasing – 6820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Agenții imobiliare – 6831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Administrarea imobilelor pe bază de comision sau contract – 6832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juridice – 6910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contabilitate și audit financiar; consultanță în domeniul fiscal – 6920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consultanță în domeniul relațiilor publice și al comunicării – 7021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consultanță pentru afaceri și management – 7022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veterinare – 7500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închiriere și leasing cu autoturisme și autovehicule rutiere ușoare fără leasing – 7711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lastRenderedPageBreak/>
        <w:t>Activități de închiriere și leasing cu autovehicule rutiere grele fără leasing – 7712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închiriere și leasing cu bunuri recreaționale și echipament sportiv fără leasing – 7721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Închirierea de casete video și discuri (CD-uri, DVD-uri) – 7722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închiriere și leasing cu alte bunuri personale și gospodărești n.c.a. – 7729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închiriere și leasing cu mașini și echipamente agricole – 7731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închiriere și leasing cu mașini și echipamente pentru construcții – 7732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închiriere și leasing cu mașini și echipamente de birou (inclusiv calculatoare) – 7733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închiriere și leasing cu mașini și echipamente de transport pe apă – 7734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închiriere și leasing cu mașini și echipamente de transport aerian – 7735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închiriere și leasing cu alte mașini, echipamente și bunuri tangibile – 7739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ale agențiilor de plasare a forței de muncă – 7810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contractare, pe baze temporare, a personalului – 7820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Servicii de furnizare și management a forței de muncă – 7830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ale agențiilor turistice – 7911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ale tur-operatorilor – 7912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Alte servicii de rezervare și asistență turistică – 7990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protecție și gardă – 8010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servicii privind sistemele de securizare – 8020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investigații – 8030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lastRenderedPageBreak/>
        <w:t>Activități de servicii suport combinate – 8110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generale de curățenie a clădirilor – 8121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specializate de curățenie – 8122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Alte activități de curățenie – 8129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întreținere peisagistică – 8130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combinate de secretariat – 8211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fotocopiere, de pregătire a documentelor și alte activități specializate de secretariat – 8219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ale centrelor de intermediere telefonică (call center) – 8220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organizare a expozițiilor, târgurilor și congreselor – 8230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ambalare – 8292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Alte activități de servicii suport pentru întreprinderi n.c.a. – 8299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asistență socială, fără cazare, pentru bătrâni și pentru persoane aflate în incapacitate de a se îngriji singure – 8810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îngrijire zilnică pentru copii – 8891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Alte activități de asistență socială, fără cazare, n.c.a. – 8899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Repararea calculatoarelor și a echipamentelor periferice – 9511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Repararea echipamentelor de comunicații – 9512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Repararea aparatelor electronice de uz casnic – 9521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Repararea dispozitivelor de uz gospodăresc și a echipamentelor pentru casă și grădină – 9522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Repararea încălțămintei și a articolelor din piele – 9523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Repararea mobilei și a furniturilor casnice – 9524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Repararea ceasurilor și a bijuteriilor – 9525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Repararea articolelor de uz personal și gospodăresc n.c.a. – 9529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Spălarea și curățarea (uscată) articolelor textile și a produselor din blană – 9601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lastRenderedPageBreak/>
        <w:t>Coafură și alte activități de înfrumusețare – 9602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pompe funebre și similare – 9603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Activități de întreținere corporală – 9604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Alte activități de servicii n.c.a. – 9609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Alte activități ale gospodăriilor private în calitate de angajator de personal casnic – 9700</w:t>
      </w:r>
    </w:p>
    <w:p w:rsidR="000D6B0E" w:rsidRPr="000D6B0E" w:rsidRDefault="000D6B0E" w:rsidP="000D6B0E">
      <w:pPr>
        <w:pStyle w:val="ListParagraph"/>
        <w:spacing w:line="360" w:lineRule="auto"/>
        <w:ind w:left="1428"/>
        <w:rPr>
          <w:rFonts w:ascii="Times New Roman" w:hAnsi="Times New Roman" w:cs="Times New Roman"/>
          <w:sz w:val="24"/>
        </w:rPr>
      </w:pPr>
    </w:p>
    <w:p w:rsidR="000D6B0E" w:rsidRPr="000D6B0E" w:rsidRDefault="000D6B0E" w:rsidP="000D6B0E">
      <w:pPr>
        <w:spacing w:line="360" w:lineRule="auto"/>
        <w:ind w:firstLine="708"/>
        <w:rPr>
          <w:rFonts w:ascii="Times New Roman" w:hAnsi="Times New Roman" w:cs="Times New Roman"/>
          <w:b/>
          <w:sz w:val="24"/>
        </w:rPr>
      </w:pPr>
      <w:r w:rsidRPr="000D6B0E">
        <w:rPr>
          <w:rFonts w:ascii="Times New Roman" w:hAnsi="Times New Roman" w:cs="Times New Roman"/>
          <w:b/>
          <w:sz w:val="24"/>
        </w:rPr>
        <w:t>IV. Comerț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autoturisme și autovehicule ușoare (sub 3.5 tone) – 4511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alte autovehicule – 4519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ridicata de piese și accesorii pentru autovehicule – 4531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amănuntul de piese și accesorii pentru autovehicule – 4532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motociclete, piese și accesorii aferente; întreținerea și repararea motocicletelor – 4540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ridicata al băuturilor cu excepția băuturilor alcoolice – 4634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ridicata al zahărului, ciocolatei și produselor zaharoase – 4636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ridicata cu cafea, ceai, cacao și condimente – 4637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ridicata specializat al altor alimente, inclusiv pește, crustacee și moluște – 4638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ridicata nespecializat de produse alimentare, băuturi și tutun cu excepția băuturilor alcoolice – 4639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ridicata al produselor textile – 4641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ridicata al îmbrăcămintei și încălțămintei – 4642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ridicata al aparatelor electrice de uz gospodăresc, al aparatelor de radio și televizoarelor – 4643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ridicata al produselor din ceramică, sticlărie și produse de întreținere – 4644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lastRenderedPageBreak/>
        <w:t>Comerț cu ridicata al produselor cosmetice și de parfumerie – 4645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ridicata al produselor farmaceutice – 4646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ridicata al mobilei, covoarelor și a articolelor de iluminat – 4647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ridicata al ceasurilor și bijuteriilor – 4648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ridicata al altor bunuri de uz gospodăresc – 4649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ridicata al calculatoarelor, echipamentelor periferice și software-ului – 4651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ridicata de componente și echipamente electronice și de telecomunicații – 4652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ridicata al mașinilor-unelte – 4662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ridicata al mașinilor pentru industria minieră și construcții – 4663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ridicat al mașinilor pentru industria textilă și al mașinilor de cusut și tricotat – 4664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ridicata al mobilei de birou – 4665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ridicata al altor mașini și echipamente de birou – 4666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ridicata al altor mașini și echipamente – 4669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ridicata al materialului lemnos și a materialelor de construcție și echipamentelor sanitare – 4673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ridicata al echipamentelor și furniturilor de fierărie pentru instalații sanitare și de încălzire – 4674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ridicata al produselor chimice – 4675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ridicata al altor produse intermediare – 4676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ridicata al deșeurilor și resturilor – 4677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ridicata nespecializat – 4690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amănuntul în magazine nespecializate, cu vânzare predominantă de produse alimentare, băuturi și tutun cu excepția băuturilor alcoolice – 4711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lastRenderedPageBreak/>
        <w:t>Comerț cu amănuntul în magazine nespecializate, cu vânzare predominantă de produse nealimentare – 4719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amănuntul al pâinii, produselor de patiserie și produselor zaharoase, în magazine specializate – 4724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amănuntul al băuturilor, în magazine specializate cu excepția băuturilor alcoolice – 4725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amănuntul al altor produse alimentare, în magazine specializate – 4729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amănuntul al carburanților pentru autovehicule, în magazine specializate – 4730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amănuntul al calculatoarelor, unităților periferice și software-ului în magazine specializate – 4741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amănuntul al echipamentului pentru telecomunicații în magazine specializate – 4742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amănuntul al echipamentelor audio/video în magazine specializate – 4743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amănuntul al textilelor, în magazine specializate – 4751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amănuntul al articolelor de fierărie, al articolelor din sticlă și a celor pentru vopsit, în magazine specializate – 4752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amănuntul al covoarelor, carpetelor, tapetelor și a altor acoperitoare de podea, în magazine specializate – 4753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amănuntul al articolelor și aparatelor electrocasnice, în magazine specializate – 4754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amănuntul al mobilei, al articolelor de iluminat și al articolelor de uz casnic n.c.a. în magazine specializate – 4759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amănuntul al cărților, în magazine specializate – 4761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lastRenderedPageBreak/>
        <w:t>Comerț cu amănuntul al ziarelor și articolelor de papetărie, în magazine specializate – 4762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amănuntul al discurilor și benzilor magnetice cu sau fără înregistrări audio/video, în magazine specializate – 4763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amănuntul al echipamentelor sportive, în magazine specializate – 4764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amănuntul al jocurilor și jucăriilor, în magazine specializate – 4765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amănuntul al îmbrăcămintei, în magazine specializate – 4771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amănunttul al încălțămintei și articolelor din piele, în magazine specializate – 4772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amănuntul al produselor farmaceutice, în magazine specializate – 4773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amănuntul al articolelor medicale și ortopedice, în magazine specializate – 4774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amănuntul al produselor cosmetice și de parfumerie, în magazine specializate – 4775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amănuntul al florilor, plantelor și semințelor; comerț cu amănuntul al amnimalelor de companiei și a hranei pentru acestea, în magazine specializate – 4776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amănuntul al ceasurilor și bijuteriilor, în magazine specializate – 4777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amănuntul al altor bunuri noi, în magazine specializate, cu excepția combustibililor, armelor și muniției – 4778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amănuntul al bunurilor de ocazie vândute prin magazine – 4779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amănuntul al textilelor, îmbrăcămintei și încălțămintei efectuat prin standuri, chioșcuri și piețe – 4782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amănuntul prin standuri, chioșcuri și piețe al altor produse – 4789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lastRenderedPageBreak/>
        <w:t>Comerț cu amănuntul prin intermediul caselor de comenzi sau prin Internet cu excepția băuturilor alcoolice și tutunului, armelor și muniției, combustibililor – 4791</w:t>
      </w:r>
    </w:p>
    <w:p w:rsidR="000D6B0E" w:rsidRPr="000D6B0E" w:rsidRDefault="000D6B0E" w:rsidP="00474515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</w:rPr>
      </w:pPr>
      <w:r w:rsidRPr="000D6B0E">
        <w:rPr>
          <w:rFonts w:ascii="Times New Roman" w:hAnsi="Times New Roman" w:cs="Times New Roman"/>
          <w:sz w:val="24"/>
        </w:rPr>
        <w:t>Comerț cu amănuntul efectuat în afara magazinelor, standurilor, chioșcurilor și piețelor cu excepția băuturilor și tutunului, armelor și muniției, combustibililor – 4799</w:t>
      </w:r>
    </w:p>
    <w:p w:rsidR="000D6B0E" w:rsidRPr="000D6B0E" w:rsidRDefault="000D6B0E" w:rsidP="000D6B0E">
      <w:pPr>
        <w:rPr>
          <w:rFonts w:ascii="Times New Roman" w:hAnsi="Times New Roman" w:cs="Times New Roman"/>
          <w:sz w:val="24"/>
        </w:rPr>
      </w:pPr>
    </w:p>
    <w:sectPr w:rsidR="000D6B0E" w:rsidRPr="000D6B0E" w:rsidSect="0022323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6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E40" w:rsidRDefault="00FF1E40" w:rsidP="00B90BFE">
      <w:r>
        <w:separator/>
      </w:r>
    </w:p>
  </w:endnote>
  <w:endnote w:type="continuationSeparator" w:id="0">
    <w:p w:rsidR="00FF1E40" w:rsidRDefault="00FF1E40" w:rsidP="00B9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C3" w:rsidRDefault="003C6EC3" w:rsidP="00196FB0">
    <w:pPr>
      <w:pStyle w:val="Footer"/>
    </w:pPr>
  </w:p>
  <w:p w:rsidR="003C6EC3" w:rsidRDefault="003C6EC3" w:rsidP="00196FB0">
    <w:pPr>
      <w:pStyle w:val="Footer"/>
    </w:pPr>
  </w:p>
  <w:p w:rsidR="003C6EC3" w:rsidRPr="00A2057A" w:rsidRDefault="003C6EC3" w:rsidP="00196FB0">
    <w:pPr>
      <w:pStyle w:val="Footer"/>
    </w:pPr>
    <w:r w:rsidRPr="00724831">
      <w:t>Pagina nr. ___ din 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C3" w:rsidRDefault="003C6EC3">
    <w:pPr>
      <w:pStyle w:val="Footer"/>
    </w:pPr>
    <w:r>
      <w:rPr>
        <w:lang w:val="ro-RO" w:eastAsia="ro-RO"/>
      </w:rPr>
      <w:drawing>
        <wp:inline distT="0" distB="0" distL="0" distR="0" wp14:anchorId="3645E343" wp14:editId="322C605A">
          <wp:extent cx="5760720" cy="666115"/>
          <wp:effectExtent l="0" t="0" r="0" b="635"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E40" w:rsidRDefault="00FF1E40" w:rsidP="00B90BFE">
      <w:r>
        <w:separator/>
      </w:r>
    </w:p>
  </w:footnote>
  <w:footnote w:type="continuationSeparator" w:id="0">
    <w:p w:rsidR="00FF1E40" w:rsidRDefault="00FF1E40" w:rsidP="00B90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4"/>
      <w:gridCol w:w="1074"/>
    </w:tblGrid>
    <w:tr w:rsidR="003C6EC3" w:rsidRPr="00D145FE" w:rsidTr="00196FB0">
      <w:tc>
        <w:tcPr>
          <w:tcW w:w="8214" w:type="dxa"/>
        </w:tcPr>
        <w:p w:rsidR="003C6EC3" w:rsidRPr="007501CA" w:rsidRDefault="003C6EC3" w:rsidP="00196FB0">
          <w:pPr>
            <w:pStyle w:val="Header"/>
            <w:rPr>
              <w:rFonts w:eastAsia="Calibri"/>
            </w:rPr>
          </w:pPr>
          <w:r w:rsidRPr="007501CA">
            <w:rPr>
              <w:rFonts w:eastAsia="Calibri"/>
            </w:rPr>
            <w:fldChar w:fldCharType="begin"/>
          </w:r>
          <w:r w:rsidRPr="007501CA">
            <w:rPr>
              <w:rFonts w:eastAsia="Calibri"/>
            </w:rPr>
            <w:instrText xml:space="preserve"> TITLE   \* MERGEFORMAT </w:instrText>
          </w:r>
          <w:r w:rsidRPr="007501CA">
            <w:rPr>
              <w:rFonts w:eastAsia="Calibri"/>
            </w:rPr>
            <w:fldChar w:fldCharType="end"/>
          </w:r>
          <w:r w:rsidRPr="007501CA">
            <w:rPr>
              <w:rFonts w:eastAsia="Calibri"/>
            </w:rPr>
            <w:t xml:space="preserve"> </w:t>
          </w:r>
        </w:p>
        <w:p w:rsidR="003C6EC3" w:rsidRPr="00D145FE" w:rsidRDefault="003C6EC3" w:rsidP="00196FB0">
          <w:pPr>
            <w:pStyle w:val="Header"/>
          </w:pPr>
          <w:r w:rsidRPr="007501CA">
            <w:rPr>
              <w:rFonts w:eastAsia="Calibri"/>
            </w:rPr>
            <w:fldChar w:fldCharType="begin"/>
          </w:r>
          <w:r w:rsidRPr="007501CA">
            <w:rPr>
              <w:rFonts w:eastAsia="Calibri"/>
            </w:rPr>
            <w:instrText xml:space="preserve"> SUBJECT   \* MERGEFORMAT </w:instrText>
          </w:r>
          <w:r w:rsidRPr="007501CA">
            <w:rPr>
              <w:rFonts w:eastAsia="Calibri"/>
            </w:rPr>
            <w:fldChar w:fldCharType="end"/>
          </w:r>
        </w:p>
      </w:tc>
      <w:tc>
        <w:tcPr>
          <w:tcW w:w="1074" w:type="dxa"/>
          <w:shd w:val="clear" w:color="auto" w:fill="3078BA"/>
          <w:vAlign w:val="center"/>
        </w:tcPr>
        <w:p w:rsidR="003C6EC3" w:rsidRPr="0044632D" w:rsidRDefault="003C6EC3" w:rsidP="00196FB0">
          <w:pPr>
            <w:pStyle w:val="Header"/>
            <w:rPr>
              <w:color w:val="3078BA"/>
            </w:rPr>
          </w:pPr>
          <w:r>
            <w:t>DRAFT 3</w:t>
          </w:r>
          <w:r w:rsidRPr="00CA3D48">
            <w:fldChar w:fldCharType="begin"/>
          </w:r>
          <w:r w:rsidRPr="00CA3D48">
            <w:instrText xml:space="preserve"> COMMENTS  \* Upper  \* MERGEFORMAT </w:instrText>
          </w:r>
          <w:r w:rsidRPr="00CA3D48">
            <w:fldChar w:fldCharType="end"/>
          </w:r>
        </w:p>
      </w:tc>
    </w:tr>
  </w:tbl>
  <w:p w:rsidR="003C6EC3" w:rsidRDefault="003C6EC3" w:rsidP="00196F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C3" w:rsidRDefault="003C6EC3" w:rsidP="0022323C">
    <w:pPr>
      <w:pStyle w:val="Header"/>
    </w:pPr>
    <w:r>
      <w:rPr>
        <w:lang w:val="ro-RO" w:eastAsia="ro-RO"/>
      </w:rPr>
      <w:drawing>
        <wp:inline distT="0" distB="0" distL="0" distR="0" wp14:anchorId="235EE040" wp14:editId="09CDC687">
          <wp:extent cx="5602501" cy="821250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 Hea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2501" cy="821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6EC3" w:rsidRDefault="003C6EC3" w:rsidP="0022323C">
    <w:pPr>
      <w:pStyle w:val="Header"/>
    </w:pPr>
  </w:p>
  <w:p w:rsidR="003C6EC3" w:rsidRDefault="003C6EC3" w:rsidP="0022323C">
    <w:pPr>
      <w:pStyle w:val="Header"/>
      <w:jc w:val="center"/>
      <w:rPr>
        <w:b/>
      </w:rPr>
    </w:pPr>
    <w:r w:rsidRPr="00FA25AE">
      <w:rPr>
        <w:b/>
        <w:color w:val="2E74B5" w:themeColor="accent1" w:themeShade="BF"/>
      </w:rPr>
      <w:t xml:space="preserve">DEZVOLTARE ANTREPRENORIALĂ ÎN SPRIJINUL COMUNITĂȚII DIN REGIUNEA SUD-VEST OLTENIA </w:t>
    </w:r>
    <w:r w:rsidRPr="00FA25AE">
      <w:rPr>
        <w:b/>
        <w:color w:val="C45911" w:themeColor="accent2" w:themeShade="BF"/>
      </w:rPr>
      <w:t>(POCU/82/3/7/107279)</w:t>
    </w:r>
  </w:p>
  <w:p w:rsidR="003C6EC3" w:rsidRDefault="003C6EC3" w:rsidP="0022323C">
    <w:pPr>
      <w:pStyle w:val="Header"/>
      <w:jc w:val="center"/>
      <w:rPr>
        <w:b/>
      </w:rPr>
    </w:pPr>
    <w:r w:rsidRPr="00D77943">
      <w:rPr>
        <w:b/>
      </w:rPr>
      <w:t>Proiect co-finanţat din Programul Operaţional Capital Uman 2014-2020</w:t>
    </w:r>
  </w:p>
  <w:p w:rsidR="003C6EC3" w:rsidRPr="00AB70E7" w:rsidRDefault="003C6EC3" w:rsidP="0022323C">
    <w:pPr>
      <w:pStyle w:val="Header"/>
      <w:jc w:val="center"/>
      <w:rPr>
        <w:b/>
      </w:rPr>
    </w:pPr>
    <w:r>
      <w:rPr>
        <w:b/>
      </w:rPr>
      <w:t>__________________________________________________________________________________</w:t>
    </w:r>
  </w:p>
  <w:p w:rsidR="003C6EC3" w:rsidRDefault="003C6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5716"/>
    <w:multiLevelType w:val="multilevel"/>
    <w:tmpl w:val="3F201A6A"/>
    <w:lvl w:ilvl="0">
      <w:start w:val="1"/>
      <w:numFmt w:val="upperRoman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Heading2"/>
      <w:lvlText w:val="4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3FC3C22"/>
    <w:multiLevelType w:val="hybridMultilevel"/>
    <w:tmpl w:val="37C83DE2"/>
    <w:lvl w:ilvl="0" w:tplc="041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3216783"/>
    <w:multiLevelType w:val="hybridMultilevel"/>
    <w:tmpl w:val="C890B142"/>
    <w:lvl w:ilvl="0" w:tplc="04180001">
      <w:start w:val="1"/>
      <w:numFmt w:val="bullet"/>
      <w:pStyle w:val="Criteri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14100"/>
    <w:multiLevelType w:val="hybridMultilevel"/>
    <w:tmpl w:val="BE985542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8631CA5"/>
    <w:multiLevelType w:val="multilevel"/>
    <w:tmpl w:val="56A45392"/>
    <w:lvl w:ilvl="0">
      <w:start w:val="1"/>
      <w:numFmt w:val="decimal"/>
      <w:pStyle w:val="Heading1"/>
      <w:lvlText w:val="%1."/>
      <w:lvlJc w:val="left"/>
      <w:pPr>
        <w:ind w:left="1021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5" w:hanging="73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22" w:hanging="73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89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56" w:hanging="737"/>
      </w:pPr>
      <w:rPr>
        <w:rFonts w:hint="default"/>
      </w:rPr>
    </w:lvl>
    <w:lvl w:ilvl="6">
      <w:numFmt w:val="bullet"/>
      <w:lvlText w:val=""/>
      <w:lvlJc w:val="left"/>
      <w:pPr>
        <w:ind w:left="4423" w:hanging="737"/>
      </w:pPr>
      <w:rPr>
        <w:rFonts w:ascii="Symbol" w:hAnsi="Symbol" w:hint="default"/>
        <w:color w:val="auto"/>
      </w:rPr>
    </w:lvl>
    <w:lvl w:ilvl="7">
      <w:start w:val="1"/>
      <w:numFmt w:val="bullet"/>
      <w:lvlText w:val="­"/>
      <w:lvlJc w:val="left"/>
      <w:pPr>
        <w:ind w:left="4990" w:hanging="737"/>
      </w:pPr>
      <w:rPr>
        <w:rFonts w:ascii="Calibri" w:hAnsi="Calibri" w:hint="default"/>
      </w:rPr>
    </w:lvl>
    <w:lvl w:ilvl="8">
      <w:start w:val="1"/>
      <w:numFmt w:val="none"/>
      <w:lvlText w:val=""/>
      <w:lvlJc w:val="right"/>
      <w:pPr>
        <w:ind w:left="5557" w:hanging="737"/>
      </w:pPr>
      <w:rPr>
        <w:rFonts w:hint="default"/>
      </w:rPr>
    </w:lvl>
  </w:abstractNum>
  <w:abstractNum w:abstractNumId="5">
    <w:nsid w:val="718E21AA"/>
    <w:multiLevelType w:val="hybridMultilevel"/>
    <w:tmpl w:val="E252F7E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AA"/>
    <w:rsid w:val="00005C02"/>
    <w:rsid w:val="00007A0E"/>
    <w:rsid w:val="00014DF1"/>
    <w:rsid w:val="0002189F"/>
    <w:rsid w:val="000401D3"/>
    <w:rsid w:val="00042C15"/>
    <w:rsid w:val="000453E0"/>
    <w:rsid w:val="000536EE"/>
    <w:rsid w:val="000555AC"/>
    <w:rsid w:val="00073A8D"/>
    <w:rsid w:val="000870A4"/>
    <w:rsid w:val="000873FC"/>
    <w:rsid w:val="000876AA"/>
    <w:rsid w:val="000A5483"/>
    <w:rsid w:val="000A78AF"/>
    <w:rsid w:val="000B29BA"/>
    <w:rsid w:val="000B7193"/>
    <w:rsid w:val="000D2C2F"/>
    <w:rsid w:val="000D5392"/>
    <w:rsid w:val="000D6B0E"/>
    <w:rsid w:val="000F06F3"/>
    <w:rsid w:val="00114331"/>
    <w:rsid w:val="00124CE3"/>
    <w:rsid w:val="00126301"/>
    <w:rsid w:val="001356DD"/>
    <w:rsid w:val="00141910"/>
    <w:rsid w:val="001513D8"/>
    <w:rsid w:val="0015763E"/>
    <w:rsid w:val="00163D92"/>
    <w:rsid w:val="00164F33"/>
    <w:rsid w:val="001711A0"/>
    <w:rsid w:val="00175E29"/>
    <w:rsid w:val="00185606"/>
    <w:rsid w:val="00196FB0"/>
    <w:rsid w:val="001A22A7"/>
    <w:rsid w:val="001A402F"/>
    <w:rsid w:val="001B4EFC"/>
    <w:rsid w:val="001E1398"/>
    <w:rsid w:val="001F0369"/>
    <w:rsid w:val="00200929"/>
    <w:rsid w:val="002110B2"/>
    <w:rsid w:val="0022323C"/>
    <w:rsid w:val="00234CAF"/>
    <w:rsid w:val="002511F7"/>
    <w:rsid w:val="00251F75"/>
    <w:rsid w:val="00252144"/>
    <w:rsid w:val="00253041"/>
    <w:rsid w:val="0026475D"/>
    <w:rsid w:val="002718BA"/>
    <w:rsid w:val="002A2F9C"/>
    <w:rsid w:val="002A32D1"/>
    <w:rsid w:val="002A697B"/>
    <w:rsid w:val="002B0A5E"/>
    <w:rsid w:val="002B35F1"/>
    <w:rsid w:val="002C0822"/>
    <w:rsid w:val="002E5434"/>
    <w:rsid w:val="00335D7C"/>
    <w:rsid w:val="003426C7"/>
    <w:rsid w:val="00384A9B"/>
    <w:rsid w:val="0039093A"/>
    <w:rsid w:val="003C6EC3"/>
    <w:rsid w:val="003D198E"/>
    <w:rsid w:val="003F04A0"/>
    <w:rsid w:val="003F5F96"/>
    <w:rsid w:val="004006BB"/>
    <w:rsid w:val="00410921"/>
    <w:rsid w:val="004200CD"/>
    <w:rsid w:val="00422678"/>
    <w:rsid w:val="00425CA2"/>
    <w:rsid w:val="00427E36"/>
    <w:rsid w:val="00434EF0"/>
    <w:rsid w:val="00453976"/>
    <w:rsid w:val="00462B24"/>
    <w:rsid w:val="0047176A"/>
    <w:rsid w:val="00474515"/>
    <w:rsid w:val="00482461"/>
    <w:rsid w:val="00496DA0"/>
    <w:rsid w:val="004A17E4"/>
    <w:rsid w:val="004A5881"/>
    <w:rsid w:val="004E063D"/>
    <w:rsid w:val="004E26E3"/>
    <w:rsid w:val="00512C2F"/>
    <w:rsid w:val="005165CA"/>
    <w:rsid w:val="00520F5D"/>
    <w:rsid w:val="00521D5C"/>
    <w:rsid w:val="00533D7A"/>
    <w:rsid w:val="00535140"/>
    <w:rsid w:val="0054111D"/>
    <w:rsid w:val="0054699E"/>
    <w:rsid w:val="005514D5"/>
    <w:rsid w:val="005533A7"/>
    <w:rsid w:val="005A2A7F"/>
    <w:rsid w:val="005A755D"/>
    <w:rsid w:val="005D1135"/>
    <w:rsid w:val="005E1188"/>
    <w:rsid w:val="00615CB4"/>
    <w:rsid w:val="0064532B"/>
    <w:rsid w:val="00661740"/>
    <w:rsid w:val="00682B18"/>
    <w:rsid w:val="00687D87"/>
    <w:rsid w:val="00692CF2"/>
    <w:rsid w:val="006973FE"/>
    <w:rsid w:val="006E78AD"/>
    <w:rsid w:val="006F1E3E"/>
    <w:rsid w:val="00710B11"/>
    <w:rsid w:val="00726435"/>
    <w:rsid w:val="007335E6"/>
    <w:rsid w:val="00734F3D"/>
    <w:rsid w:val="00752183"/>
    <w:rsid w:val="007524B2"/>
    <w:rsid w:val="0075352D"/>
    <w:rsid w:val="00757D31"/>
    <w:rsid w:val="0076066D"/>
    <w:rsid w:val="00782045"/>
    <w:rsid w:val="00784B5A"/>
    <w:rsid w:val="00784EC2"/>
    <w:rsid w:val="007B2C61"/>
    <w:rsid w:val="007C221E"/>
    <w:rsid w:val="007C7DA9"/>
    <w:rsid w:val="007E64AB"/>
    <w:rsid w:val="00811DF2"/>
    <w:rsid w:val="0081747D"/>
    <w:rsid w:val="008179FF"/>
    <w:rsid w:val="00827B8A"/>
    <w:rsid w:val="008456DE"/>
    <w:rsid w:val="00847AE2"/>
    <w:rsid w:val="00847DB4"/>
    <w:rsid w:val="00853755"/>
    <w:rsid w:val="008672FA"/>
    <w:rsid w:val="008707B6"/>
    <w:rsid w:val="00870800"/>
    <w:rsid w:val="00871342"/>
    <w:rsid w:val="0087544E"/>
    <w:rsid w:val="0089572D"/>
    <w:rsid w:val="00897F5D"/>
    <w:rsid w:val="008A63B2"/>
    <w:rsid w:val="008B5B3C"/>
    <w:rsid w:val="008D7657"/>
    <w:rsid w:val="008E2100"/>
    <w:rsid w:val="008F44F7"/>
    <w:rsid w:val="0090228D"/>
    <w:rsid w:val="00911C1B"/>
    <w:rsid w:val="009125A4"/>
    <w:rsid w:val="0091557E"/>
    <w:rsid w:val="0092182A"/>
    <w:rsid w:val="00934A98"/>
    <w:rsid w:val="00936600"/>
    <w:rsid w:val="009428EB"/>
    <w:rsid w:val="00985825"/>
    <w:rsid w:val="009C0C20"/>
    <w:rsid w:val="009D48D8"/>
    <w:rsid w:val="009F405B"/>
    <w:rsid w:val="00A01359"/>
    <w:rsid w:val="00A4372E"/>
    <w:rsid w:val="00A442B4"/>
    <w:rsid w:val="00A54489"/>
    <w:rsid w:val="00A906CD"/>
    <w:rsid w:val="00A95D0C"/>
    <w:rsid w:val="00AA5583"/>
    <w:rsid w:val="00AB0FC7"/>
    <w:rsid w:val="00AE5339"/>
    <w:rsid w:val="00B05D61"/>
    <w:rsid w:val="00B10F73"/>
    <w:rsid w:val="00B26071"/>
    <w:rsid w:val="00B31EF8"/>
    <w:rsid w:val="00B37B4C"/>
    <w:rsid w:val="00B44735"/>
    <w:rsid w:val="00B72ED4"/>
    <w:rsid w:val="00B90BFE"/>
    <w:rsid w:val="00B9189A"/>
    <w:rsid w:val="00BB2C8D"/>
    <w:rsid w:val="00BE6C45"/>
    <w:rsid w:val="00BF3954"/>
    <w:rsid w:val="00C0279B"/>
    <w:rsid w:val="00C2362F"/>
    <w:rsid w:val="00C3437B"/>
    <w:rsid w:val="00C45058"/>
    <w:rsid w:val="00C45999"/>
    <w:rsid w:val="00C541EB"/>
    <w:rsid w:val="00C636B3"/>
    <w:rsid w:val="00C6607C"/>
    <w:rsid w:val="00C87308"/>
    <w:rsid w:val="00CA0F70"/>
    <w:rsid w:val="00CB76DA"/>
    <w:rsid w:val="00CC4A61"/>
    <w:rsid w:val="00CE3605"/>
    <w:rsid w:val="00CE4C03"/>
    <w:rsid w:val="00CF0E90"/>
    <w:rsid w:val="00D067FE"/>
    <w:rsid w:val="00D15525"/>
    <w:rsid w:val="00D239C7"/>
    <w:rsid w:val="00D40AB4"/>
    <w:rsid w:val="00D5037D"/>
    <w:rsid w:val="00D60870"/>
    <w:rsid w:val="00D902AD"/>
    <w:rsid w:val="00DA7748"/>
    <w:rsid w:val="00DA7C2B"/>
    <w:rsid w:val="00DB012C"/>
    <w:rsid w:val="00DD506D"/>
    <w:rsid w:val="00DD5E51"/>
    <w:rsid w:val="00E10F24"/>
    <w:rsid w:val="00E1232C"/>
    <w:rsid w:val="00E20217"/>
    <w:rsid w:val="00E33209"/>
    <w:rsid w:val="00E63700"/>
    <w:rsid w:val="00E709C1"/>
    <w:rsid w:val="00E768C8"/>
    <w:rsid w:val="00E77ECF"/>
    <w:rsid w:val="00E84806"/>
    <w:rsid w:val="00E92075"/>
    <w:rsid w:val="00EB2015"/>
    <w:rsid w:val="00ED383C"/>
    <w:rsid w:val="00F11B96"/>
    <w:rsid w:val="00F12C2B"/>
    <w:rsid w:val="00F141AA"/>
    <w:rsid w:val="00F35D90"/>
    <w:rsid w:val="00F4374B"/>
    <w:rsid w:val="00F61B83"/>
    <w:rsid w:val="00F64B32"/>
    <w:rsid w:val="00F655EB"/>
    <w:rsid w:val="00F67DD7"/>
    <w:rsid w:val="00F94964"/>
    <w:rsid w:val="00FB11D9"/>
    <w:rsid w:val="00FC3582"/>
    <w:rsid w:val="00FD4FDC"/>
    <w:rsid w:val="00FE0518"/>
    <w:rsid w:val="00FE267B"/>
    <w:rsid w:val="00FE3694"/>
    <w:rsid w:val="00F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B90B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iCs/>
      <w:noProof/>
      <w:szCs w:val="24"/>
      <w:lang w:val="ro-RO" w:eastAsia="sk-S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0BFE"/>
    <w:pPr>
      <w:keepNext/>
      <w:keepLines/>
      <w:numPr>
        <w:numId w:val="3"/>
      </w:numPr>
      <w:spacing w:before="600" w:after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90BFE"/>
    <w:pPr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uiPriority w:val="9"/>
    <w:unhideWhenUsed/>
    <w:qFormat/>
    <w:rsid w:val="00B90BFE"/>
    <w:pPr>
      <w:keepNext/>
      <w:keepLines/>
      <w:numPr>
        <w:ilvl w:val="2"/>
      </w:numPr>
      <w:spacing w:before="40"/>
      <w:outlineLvl w:val="2"/>
    </w:pPr>
    <w:rPr>
      <w:rFonts w:asciiTheme="majorHAnsi" w:eastAsiaTheme="majorEastAsia" w:hAnsiTheme="majorHAnsi" w:cstheme="majorBidi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0B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 w:val="0"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0B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0B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0B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 w:val="0"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0BF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BF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 w:val="0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0BFE"/>
    <w:rPr>
      <w:rFonts w:eastAsiaTheme="majorEastAsia" w:cstheme="majorBidi"/>
      <w:iCs/>
      <w:noProof/>
      <w:color w:val="2E74B5" w:themeColor="accent1" w:themeShade="BF"/>
      <w:sz w:val="32"/>
      <w:szCs w:val="32"/>
      <w:lang w:val="ro-RO" w:eastAsia="sk-SK"/>
    </w:rPr>
  </w:style>
  <w:style w:type="character" w:customStyle="1" w:styleId="Heading2Char">
    <w:name w:val="Heading 2 Char"/>
    <w:basedOn w:val="DefaultParagraphFont"/>
    <w:link w:val="Heading2"/>
    <w:uiPriority w:val="9"/>
    <w:rsid w:val="00B90BFE"/>
    <w:rPr>
      <w:rFonts w:eastAsiaTheme="majorEastAsia" w:cstheme="majorBidi"/>
      <w:iCs/>
      <w:noProof/>
      <w:color w:val="2E74B5" w:themeColor="accent1" w:themeShade="BF"/>
      <w:sz w:val="28"/>
      <w:szCs w:val="32"/>
      <w:lang w:val="ro-RO" w:eastAsia="sk-SK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uiPriority w:val="9"/>
    <w:rsid w:val="00B90BFE"/>
    <w:rPr>
      <w:rFonts w:asciiTheme="majorHAnsi" w:eastAsiaTheme="majorEastAsia" w:hAnsiTheme="majorHAnsi" w:cstheme="majorBidi"/>
      <w:iCs/>
      <w:noProof/>
      <w:sz w:val="24"/>
      <w:szCs w:val="24"/>
      <w:lang w:val="ro-RO" w:eastAsia="sk-SK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0BFE"/>
    <w:rPr>
      <w:rFonts w:asciiTheme="majorHAnsi" w:eastAsiaTheme="majorEastAsia" w:hAnsiTheme="majorHAnsi" w:cstheme="majorBidi"/>
      <w:i/>
      <w:noProof/>
      <w:color w:val="2E74B5" w:themeColor="accent1" w:themeShade="BF"/>
      <w:szCs w:val="24"/>
      <w:lang w:val="ro-RO" w:eastAsia="sk-S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0BFE"/>
    <w:rPr>
      <w:rFonts w:asciiTheme="majorHAnsi" w:eastAsiaTheme="majorEastAsia" w:hAnsiTheme="majorHAnsi" w:cstheme="majorBidi"/>
      <w:iCs/>
      <w:noProof/>
      <w:color w:val="2E74B5" w:themeColor="accent1" w:themeShade="BF"/>
      <w:szCs w:val="24"/>
      <w:lang w:val="ro-RO" w:eastAsia="sk-SK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0BFE"/>
    <w:rPr>
      <w:rFonts w:asciiTheme="majorHAnsi" w:eastAsiaTheme="majorEastAsia" w:hAnsiTheme="majorHAnsi" w:cstheme="majorBidi"/>
      <w:iCs/>
      <w:noProof/>
      <w:color w:val="1F4D78" w:themeColor="accent1" w:themeShade="7F"/>
      <w:szCs w:val="24"/>
      <w:lang w:val="ro-RO" w:eastAsia="sk-S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0BFE"/>
    <w:rPr>
      <w:rFonts w:asciiTheme="majorHAnsi" w:eastAsiaTheme="majorEastAsia" w:hAnsiTheme="majorHAnsi" w:cstheme="majorBidi"/>
      <w:i/>
      <w:noProof/>
      <w:color w:val="1F4D78" w:themeColor="accent1" w:themeShade="7F"/>
      <w:szCs w:val="24"/>
      <w:lang w:val="ro-RO" w:eastAsia="sk-S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0BFE"/>
    <w:rPr>
      <w:rFonts w:asciiTheme="majorHAnsi" w:eastAsiaTheme="majorEastAsia" w:hAnsiTheme="majorHAnsi" w:cstheme="majorBidi"/>
      <w:iCs/>
      <w:noProof/>
      <w:color w:val="272727" w:themeColor="text1" w:themeTint="D8"/>
      <w:sz w:val="21"/>
      <w:szCs w:val="21"/>
      <w:lang w:val="ro-RO" w:eastAsia="sk-S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BFE"/>
    <w:rPr>
      <w:rFonts w:asciiTheme="majorHAnsi" w:eastAsiaTheme="majorEastAsia" w:hAnsiTheme="majorHAnsi" w:cstheme="majorBidi"/>
      <w:i/>
      <w:noProof/>
      <w:color w:val="272727" w:themeColor="text1" w:themeTint="D8"/>
      <w:sz w:val="21"/>
      <w:szCs w:val="21"/>
      <w:lang w:val="ro-RO" w:eastAsia="sk-SK"/>
    </w:rPr>
  </w:style>
  <w:style w:type="paragraph" w:styleId="TOC1">
    <w:name w:val="toc 1"/>
    <w:basedOn w:val="Normal"/>
    <w:next w:val="Normal"/>
    <w:autoRedefine/>
    <w:uiPriority w:val="99"/>
    <w:rsid w:val="00014DF1"/>
    <w:pPr>
      <w:tabs>
        <w:tab w:val="left" w:pos="284"/>
        <w:tab w:val="right" w:leader="dot" w:pos="9062"/>
      </w:tabs>
      <w:spacing w:before="60"/>
    </w:pPr>
    <w:rPr>
      <w:b/>
      <w:szCs w:val="22"/>
    </w:rPr>
  </w:style>
  <w:style w:type="paragraph" w:styleId="TOC2">
    <w:name w:val="toc 2"/>
    <w:basedOn w:val="Normal"/>
    <w:next w:val="Normal"/>
    <w:autoRedefine/>
    <w:uiPriority w:val="99"/>
    <w:rsid w:val="00014DF1"/>
    <w:pPr>
      <w:tabs>
        <w:tab w:val="left" w:pos="567"/>
        <w:tab w:val="right" w:leader="dot" w:pos="9062"/>
      </w:tabs>
      <w:ind w:left="202"/>
    </w:pPr>
  </w:style>
  <w:style w:type="paragraph" w:styleId="TOC3">
    <w:name w:val="toc 3"/>
    <w:basedOn w:val="Normal"/>
    <w:next w:val="Normal"/>
    <w:autoRedefine/>
    <w:uiPriority w:val="99"/>
    <w:rsid w:val="00B90BFE"/>
    <w:pPr>
      <w:ind w:left="403"/>
    </w:pPr>
  </w:style>
  <w:style w:type="character" w:styleId="Emphasis">
    <w:name w:val="Emphasis"/>
    <w:uiPriority w:val="20"/>
    <w:qFormat/>
    <w:rsid w:val="00B90BFE"/>
    <w:rPr>
      <w:i/>
      <w:iCs/>
    </w:rPr>
  </w:style>
  <w:style w:type="paragraph" w:styleId="NoSpacing">
    <w:name w:val="No Spacing"/>
    <w:uiPriority w:val="99"/>
    <w:qFormat/>
    <w:rsid w:val="00B90BFE"/>
    <w:pPr>
      <w:spacing w:after="0" w:line="240" w:lineRule="auto"/>
      <w:jc w:val="both"/>
    </w:pPr>
    <w:rPr>
      <w:lang w:val="ro-RO" w:eastAsia="ro-RO"/>
    </w:rPr>
  </w:style>
  <w:style w:type="paragraph" w:styleId="ListParagraph">
    <w:name w:val="List Paragraph"/>
    <w:aliases w:val="Normal bullet 2,body 2,List Paragraph11,List Paragraph111,Antes de enumeración,Listă colorată - Accentuare 11,Bullet,Citation List"/>
    <w:basedOn w:val="Normal"/>
    <w:link w:val="ListParagraphChar"/>
    <w:uiPriority w:val="99"/>
    <w:qFormat/>
    <w:rsid w:val="00B90BFE"/>
    <w:pPr>
      <w:ind w:left="720"/>
      <w:contextualSpacing/>
    </w:pPr>
  </w:style>
  <w:style w:type="character" w:customStyle="1" w:styleId="ListParagraphChar">
    <w:name w:val="List Paragraph Char"/>
    <w:aliases w:val="Normal bullet 2 Char,body 2 Char,List Paragraph11 Char,List Paragraph111 Char,Antes de enumeración Char,Listă colorată - Accentuare 11 Char,Bullet Char,Citation List Char"/>
    <w:basedOn w:val="DefaultParagraphFont"/>
    <w:link w:val="ListParagraph"/>
    <w:uiPriority w:val="99"/>
    <w:locked/>
    <w:rsid w:val="00B90BFE"/>
    <w:rPr>
      <w:rFonts w:eastAsia="Times New Roman"/>
      <w:iCs/>
      <w:noProof/>
      <w:szCs w:val="24"/>
      <w:lang w:val="ro-RO" w:eastAsia="sk-SK"/>
    </w:rPr>
  </w:style>
  <w:style w:type="paragraph" w:styleId="TOCHeading">
    <w:name w:val="TOC Heading"/>
    <w:basedOn w:val="Heading1"/>
    <w:next w:val="Normal"/>
    <w:uiPriority w:val="99"/>
    <w:unhideWhenUsed/>
    <w:qFormat/>
    <w:rsid w:val="00B90BFE"/>
    <w:pPr>
      <w:numPr>
        <w:numId w:val="0"/>
      </w:numPr>
      <w:spacing w:before="240" w:after="0"/>
      <w:outlineLvl w:val="9"/>
    </w:pPr>
    <w:rPr>
      <w:rFonts w:asciiTheme="majorHAnsi" w:hAnsiTheme="majorHAnsi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90BFE"/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Reference,stile 1,Footnote1,ft,Footnote2,Footnote3"/>
    <w:basedOn w:val="Normal"/>
    <w:link w:val="FootnoteTextChar"/>
    <w:uiPriority w:val="99"/>
    <w:unhideWhenUsed/>
    <w:rsid w:val="00B90BFE"/>
    <w:rPr>
      <w:sz w:val="20"/>
      <w:szCs w:val="20"/>
    </w:rPr>
  </w:style>
  <w:style w:type="character" w:customStyle="1" w:styleId="FootnoteTextChar">
    <w:name w:val="Footnote Text Char"/>
    <w:aliases w:val="Footnote Text Char Char Char1,Fußnote Char2,single space Char1,FOOTNOTES Char1,fn Char2,Podrozdział Char1,Footnote Char1,fn Char Char Char Char1,fn Char Char Char2,fn Char Char2,Fußnote Char Char Char Char2,Fußnote Char Char,ft Char"/>
    <w:basedOn w:val="DefaultParagraphFont"/>
    <w:link w:val="FootnoteText"/>
    <w:uiPriority w:val="99"/>
    <w:rsid w:val="00B90BFE"/>
    <w:rPr>
      <w:rFonts w:eastAsia="Times New Roman"/>
      <w:iCs/>
      <w:noProof/>
      <w:sz w:val="20"/>
      <w:szCs w:val="20"/>
      <w:lang w:val="ro-RO" w:eastAsia="sk-SK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,Char1"/>
    <w:link w:val="BVIfnrChar1Char"/>
    <w:uiPriority w:val="99"/>
    <w:qFormat/>
    <w:rsid w:val="00B90BFE"/>
    <w:rPr>
      <w:vertAlign w:val="superscript"/>
    </w:rPr>
  </w:style>
  <w:style w:type="paragraph" w:customStyle="1" w:styleId="Default">
    <w:name w:val="Default"/>
    <w:uiPriority w:val="99"/>
    <w:rsid w:val="00B90B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o-RO"/>
    </w:rPr>
  </w:style>
  <w:style w:type="character" w:styleId="Hyperlink">
    <w:name w:val="Hyperlink"/>
    <w:uiPriority w:val="99"/>
    <w:unhideWhenUsed/>
    <w:rsid w:val="00B90BFE"/>
    <w:rPr>
      <w:color w:val="0000FF"/>
      <w:u w:val="single"/>
    </w:rPr>
  </w:style>
  <w:style w:type="paragraph" w:customStyle="1" w:styleId="Standard">
    <w:name w:val="Standard"/>
    <w:rsid w:val="00B90BFE"/>
    <w:pPr>
      <w:suppressAutoHyphens/>
      <w:spacing w:line="252" w:lineRule="auto"/>
      <w:jc w:val="both"/>
      <w:textAlignment w:val="baseline"/>
    </w:pPr>
    <w:rPr>
      <w:rFonts w:ascii="Calibri" w:hAnsi="Calibri" w:cs="Calibri"/>
      <w:kern w:val="1"/>
      <w:lang w:eastAsia="zh-CN"/>
    </w:rPr>
  </w:style>
  <w:style w:type="character" w:customStyle="1" w:styleId="FootnoteCharacters">
    <w:name w:val="Footnote Characters"/>
    <w:rsid w:val="00B90BF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90BFE"/>
    <w:pPr>
      <w:tabs>
        <w:tab w:val="center" w:pos="4703"/>
        <w:tab w:val="right" w:pos="94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90BFE"/>
    <w:rPr>
      <w:rFonts w:eastAsia="Times New Roman"/>
      <w:iCs/>
      <w:noProof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B90BFE"/>
    <w:pPr>
      <w:tabs>
        <w:tab w:val="center" w:pos="4703"/>
        <w:tab w:val="right" w:pos="940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0BFE"/>
    <w:rPr>
      <w:rFonts w:eastAsia="Times New Roman"/>
      <w:iCs/>
      <w:noProof/>
      <w:szCs w:val="24"/>
      <w:lang w:eastAsia="sk-SK"/>
    </w:rPr>
  </w:style>
  <w:style w:type="character" w:customStyle="1" w:styleId="hps">
    <w:name w:val="hps"/>
    <w:rsid w:val="00B90BFE"/>
  </w:style>
  <w:style w:type="character" w:styleId="Strong">
    <w:name w:val="Strong"/>
    <w:uiPriority w:val="22"/>
    <w:qFormat/>
    <w:rsid w:val="00B90BFE"/>
    <w:rPr>
      <w:b/>
      <w:bCs/>
    </w:rPr>
  </w:style>
  <w:style w:type="character" w:customStyle="1" w:styleId="Internetlink">
    <w:name w:val="Internet link"/>
    <w:rsid w:val="00B90BFE"/>
    <w:rPr>
      <w:color w:val="0000FF"/>
      <w:u w:val="single"/>
    </w:rPr>
  </w:style>
  <w:style w:type="character" w:customStyle="1" w:styleId="FootnoteSymbol">
    <w:name w:val="Footnote Symbol"/>
    <w:rsid w:val="00B90BFE"/>
    <w:rPr>
      <w:vertAlign w:val="superscript"/>
    </w:rPr>
  </w:style>
  <w:style w:type="paragraph" w:customStyle="1" w:styleId="ColorfulList-Accent11">
    <w:name w:val="Colorful List - Accent 11"/>
    <w:basedOn w:val="Standard"/>
    <w:rsid w:val="00B90BFE"/>
    <w:pPr>
      <w:ind w:left="720"/>
    </w:pPr>
  </w:style>
  <w:style w:type="paragraph" w:customStyle="1" w:styleId="E-Body1">
    <w:name w:val="E-Body 1"/>
    <w:basedOn w:val="Standard"/>
    <w:rsid w:val="00B90BFE"/>
  </w:style>
  <w:style w:type="paragraph" w:styleId="NormalWeb">
    <w:name w:val="Normal (Web)"/>
    <w:basedOn w:val="Normal"/>
    <w:uiPriority w:val="99"/>
    <w:unhideWhenUsed/>
    <w:rsid w:val="00B90BFE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99"/>
    <w:rsid w:val="00B90BF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BFE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FE"/>
    <w:rPr>
      <w:rFonts w:ascii="Tahoma" w:eastAsia="Times New Roman" w:hAnsi="Tahoma" w:cs="Tahoma"/>
      <w:iCs/>
      <w:noProof/>
      <w:sz w:val="16"/>
      <w:szCs w:val="16"/>
      <w:lang w:eastAsia="sk-SK"/>
    </w:rPr>
  </w:style>
  <w:style w:type="paragraph" w:customStyle="1" w:styleId="ListParagraph1">
    <w:name w:val="List Paragraph1"/>
    <w:basedOn w:val="Normal"/>
    <w:uiPriority w:val="34"/>
    <w:rsid w:val="00B90BFE"/>
    <w:pPr>
      <w:ind w:left="720"/>
      <w:contextualSpacing/>
    </w:pPr>
    <w:rPr>
      <w:lang w:val="en-US"/>
    </w:rPr>
  </w:style>
  <w:style w:type="character" w:customStyle="1" w:styleId="apple-converted-space">
    <w:name w:val="apple-converted-space"/>
    <w:rsid w:val="00B90BFE"/>
  </w:style>
  <w:style w:type="table" w:customStyle="1" w:styleId="GridTable4-Accent61">
    <w:name w:val="Grid Table 4 - Accent 61"/>
    <w:basedOn w:val="TableNormal"/>
    <w:uiPriority w:val="49"/>
    <w:rsid w:val="00B90BFE"/>
    <w:rPr>
      <w:rFonts w:ascii="Calibri" w:eastAsia="Calibri" w:hAnsi="Calibri"/>
      <w:lang w:val="ro-R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BodyText">
    <w:name w:val="Body Text"/>
    <w:basedOn w:val="Normal"/>
    <w:link w:val="BodyTextChar"/>
    <w:rsid w:val="00B90BFE"/>
    <w:rPr>
      <w:rFonts w:ascii="Times New Roman" w:hAnsi="Times New Roman"/>
      <w:sz w:val="24"/>
      <w:szCs w:val="20"/>
      <w:lang w:val="en-US" w:eastAsia="ro-RO"/>
    </w:rPr>
  </w:style>
  <w:style w:type="character" w:customStyle="1" w:styleId="BodyTextChar">
    <w:name w:val="Body Text Char"/>
    <w:basedOn w:val="DefaultParagraphFont"/>
    <w:link w:val="BodyText"/>
    <w:rsid w:val="00B90BFE"/>
    <w:rPr>
      <w:rFonts w:ascii="Times New Roman" w:eastAsia="Times New Roman" w:hAnsi="Times New Roman"/>
      <w:iCs/>
      <w:noProof/>
      <w:sz w:val="24"/>
      <w:szCs w:val="20"/>
      <w:lang w:eastAsia="ro-RO"/>
    </w:rPr>
  </w:style>
  <w:style w:type="paragraph" w:styleId="BodyText3">
    <w:name w:val="Body Text 3"/>
    <w:basedOn w:val="Normal"/>
    <w:link w:val="BodyText3Char"/>
    <w:rsid w:val="00B90BFE"/>
    <w:pPr>
      <w:jc w:val="center"/>
    </w:pPr>
    <w:rPr>
      <w:rFonts w:ascii="Times New Roman" w:hAnsi="Times New Roman"/>
      <w:b/>
      <w:sz w:val="24"/>
      <w:szCs w:val="20"/>
      <w:lang w:val="en-US" w:eastAsia="ro-RO"/>
    </w:rPr>
  </w:style>
  <w:style w:type="character" w:customStyle="1" w:styleId="BodyText3Char">
    <w:name w:val="Body Text 3 Char"/>
    <w:basedOn w:val="DefaultParagraphFont"/>
    <w:link w:val="BodyText3"/>
    <w:rsid w:val="00B90BFE"/>
    <w:rPr>
      <w:rFonts w:ascii="Times New Roman" w:eastAsia="Times New Roman" w:hAnsi="Times New Roman"/>
      <w:b/>
      <w:iCs/>
      <w:noProof/>
      <w:sz w:val="24"/>
      <w:szCs w:val="20"/>
      <w:lang w:eastAsia="ro-RO"/>
    </w:rPr>
  </w:style>
  <w:style w:type="paragraph" w:customStyle="1" w:styleId="CharCharChar1CharCharChar1">
    <w:name w:val="Char Char Char1 Char Char Char1"/>
    <w:aliases w:val="Char Char Char1 Char Caracter,Char Char Char1 Char Char Char Char"/>
    <w:basedOn w:val="Normal"/>
    <w:rsid w:val="00B90BFE"/>
    <w:rPr>
      <w:rFonts w:ascii="Times New Roman" w:hAnsi="Times New Roman"/>
      <w:sz w:val="24"/>
      <w:lang w:val="pl-PL" w:eastAsia="pl-PL"/>
    </w:rPr>
  </w:style>
  <w:style w:type="character" w:styleId="CommentReference">
    <w:name w:val="annotation reference"/>
    <w:uiPriority w:val="99"/>
    <w:semiHidden/>
    <w:unhideWhenUsed/>
    <w:rsid w:val="00B90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BFE"/>
    <w:pPr>
      <w:spacing w:after="200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BFE"/>
    <w:rPr>
      <w:rFonts w:ascii="Times New Roman" w:eastAsia="Times New Roman" w:hAnsi="Times New Roman"/>
      <w:iCs/>
      <w:noProof/>
      <w:sz w:val="20"/>
      <w:szCs w:val="20"/>
      <w:lang w:eastAsia="sk-SK"/>
    </w:rPr>
  </w:style>
  <w:style w:type="paragraph" w:customStyle="1" w:styleId="instruct">
    <w:name w:val="instruct"/>
    <w:basedOn w:val="Normal"/>
    <w:rsid w:val="00B90BFE"/>
    <w:pPr>
      <w:spacing w:before="40" w:after="40"/>
    </w:pPr>
    <w:rPr>
      <w:rFonts w:ascii="Trebuchet MS" w:hAnsi="Trebuchet MS" w:cs="Arial"/>
      <w:i/>
      <w:iCs w:val="0"/>
      <w:sz w:val="20"/>
      <w:szCs w:val="21"/>
    </w:rPr>
  </w:style>
  <w:style w:type="paragraph" w:customStyle="1" w:styleId="eval">
    <w:name w:val="eval"/>
    <w:basedOn w:val="Heading3"/>
    <w:rsid w:val="00B90BFE"/>
    <w:pPr>
      <w:numPr>
        <w:ilvl w:val="0"/>
      </w:numPr>
      <w:tabs>
        <w:tab w:val="num" w:pos="3600"/>
      </w:tabs>
      <w:ind w:left="3600" w:hanging="360"/>
    </w:pPr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BFE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BFE"/>
    <w:rPr>
      <w:rFonts w:ascii="Times New Roman" w:eastAsia="Times New Roman" w:hAnsi="Times New Roman"/>
      <w:b/>
      <w:bCs/>
      <w:iCs/>
      <w:noProof/>
      <w:sz w:val="20"/>
      <w:szCs w:val="20"/>
      <w:lang w:eastAsia="sk-SK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0BFE"/>
    <w:pPr>
      <w:spacing w:after="200"/>
    </w:pPr>
    <w:rPr>
      <w:i/>
      <w:iCs w:val="0"/>
      <w:color w:val="44546A" w:themeColor="text2"/>
      <w:sz w:val="18"/>
    </w:rPr>
  </w:style>
  <w:style w:type="paragraph" w:styleId="Revision">
    <w:name w:val="Revision"/>
    <w:hidden/>
    <w:uiPriority w:val="99"/>
    <w:semiHidden/>
    <w:rsid w:val="00B90BFE"/>
    <w:rPr>
      <w:rFonts w:ascii="Calibri" w:eastAsia="Calibri" w:hAnsi="Calibri"/>
      <w:lang w:val="ro-RO"/>
    </w:rPr>
  </w:style>
  <w:style w:type="paragraph" w:customStyle="1" w:styleId="criterii">
    <w:name w:val="criterii"/>
    <w:basedOn w:val="Normal"/>
    <w:rsid w:val="00B90BFE"/>
    <w:pPr>
      <w:shd w:val="clear" w:color="auto" w:fill="E6E6E6"/>
      <w:spacing w:before="240" w:after="120"/>
    </w:pPr>
    <w:rPr>
      <w:rFonts w:ascii="Trebuchet MS" w:hAnsi="Trebuchet MS"/>
      <w:b/>
      <w:bCs/>
      <w:snapToGrid w:val="0"/>
      <w:sz w:val="20"/>
    </w:rPr>
  </w:style>
  <w:style w:type="character" w:customStyle="1" w:styleId="FootnoteTextChar1">
    <w:name w:val="Footnote Text Char1"/>
    <w:aliases w:val="Footnote Text Char Char Char,Footnote Text Char Char1,Fußnote Char1,single space Char,FOOTNOTES Char,fn Char1,Podrozdział Char,Footnote Char,fn Char Char Char Char,fn Char Char Char1,fn Char Char1,Fußnote Char Char Char Char1"/>
    <w:basedOn w:val="DefaultParagraphFont"/>
    <w:uiPriority w:val="99"/>
    <w:semiHidden/>
    <w:rsid w:val="00B90BFE"/>
    <w:rPr>
      <w:rFonts w:ascii="Calibri" w:hAnsi="Calibri" w:cs="Calibri"/>
      <w:kern w:val="1"/>
      <w:sz w:val="20"/>
      <w:szCs w:val="20"/>
      <w:lang w:eastAsia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B90BFE"/>
    <w:pPr>
      <w:spacing w:line="240" w:lineRule="exact"/>
    </w:pPr>
    <w:rPr>
      <w:rFonts w:eastAsiaTheme="minorHAnsi"/>
      <w:iCs w:val="0"/>
      <w:noProof w:val="0"/>
      <w:szCs w:val="22"/>
      <w:vertAlign w:val="superscript"/>
      <w:lang w:val="en-US" w:eastAsia="en-US"/>
    </w:rPr>
  </w:style>
  <w:style w:type="paragraph" w:customStyle="1" w:styleId="Criteriu">
    <w:name w:val="Criteriu"/>
    <w:basedOn w:val="ListParagraph"/>
    <w:link w:val="CriteriuChar"/>
    <w:qFormat/>
    <w:rsid w:val="00B90BFE"/>
    <w:pPr>
      <w:numPr>
        <w:numId w:val="2"/>
      </w:numPr>
      <w:spacing w:before="480" w:after="120"/>
      <w:ind w:left="360"/>
    </w:pPr>
    <w:rPr>
      <w:b/>
    </w:rPr>
  </w:style>
  <w:style w:type="character" w:customStyle="1" w:styleId="CriteriuChar">
    <w:name w:val="Criteriu Char"/>
    <w:basedOn w:val="ListParagraphChar"/>
    <w:link w:val="Criteriu"/>
    <w:rsid w:val="00B90BFE"/>
    <w:rPr>
      <w:rFonts w:eastAsia="Times New Roman"/>
      <w:b/>
      <w:iCs/>
      <w:noProof/>
      <w:szCs w:val="24"/>
      <w:lang w:val="ro-RO" w:eastAsia="sk-SK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D6B0E"/>
    <w:pPr>
      <w:widowControl/>
      <w:pBdr>
        <w:top w:val="single" w:sz="4" w:space="10" w:color="5B9BD5"/>
        <w:bottom w:val="single" w:sz="4" w:space="10" w:color="5B9BD5"/>
      </w:pBdr>
      <w:autoSpaceDE/>
      <w:autoSpaceDN/>
      <w:adjustRightInd/>
      <w:spacing w:before="360" w:after="360" w:line="259" w:lineRule="auto"/>
      <w:ind w:left="864" w:right="864"/>
      <w:jc w:val="center"/>
    </w:pPr>
    <w:rPr>
      <w:rFonts w:ascii="Calibri" w:eastAsia="Calibri" w:hAnsi="Calibri" w:cs="Times New Roman"/>
      <w:i/>
      <w:noProof w:val="0"/>
      <w:color w:val="5B9BD5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0D6B0E"/>
    <w:rPr>
      <w:rFonts w:ascii="Calibri" w:eastAsia="Calibri" w:hAnsi="Calibri" w:cs="Times New Roman"/>
      <w:i/>
      <w:iCs/>
      <w:color w:val="5B9BD5"/>
      <w:lang w:val="ro-RO"/>
    </w:rPr>
  </w:style>
  <w:style w:type="character" w:styleId="PageNumber">
    <w:name w:val="page number"/>
    <w:basedOn w:val="DefaultParagraphFont"/>
    <w:uiPriority w:val="99"/>
    <w:rsid w:val="000D6B0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B90B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iCs/>
      <w:noProof/>
      <w:szCs w:val="24"/>
      <w:lang w:val="ro-RO" w:eastAsia="sk-S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0BFE"/>
    <w:pPr>
      <w:keepNext/>
      <w:keepLines/>
      <w:numPr>
        <w:numId w:val="3"/>
      </w:numPr>
      <w:spacing w:before="600" w:after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90BFE"/>
    <w:pPr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uiPriority w:val="9"/>
    <w:unhideWhenUsed/>
    <w:qFormat/>
    <w:rsid w:val="00B90BFE"/>
    <w:pPr>
      <w:keepNext/>
      <w:keepLines/>
      <w:numPr>
        <w:ilvl w:val="2"/>
      </w:numPr>
      <w:spacing w:before="40"/>
      <w:outlineLvl w:val="2"/>
    </w:pPr>
    <w:rPr>
      <w:rFonts w:asciiTheme="majorHAnsi" w:eastAsiaTheme="majorEastAsia" w:hAnsiTheme="majorHAnsi" w:cstheme="majorBidi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0B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 w:val="0"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0B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0B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0B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 w:val="0"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0BF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BF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 w:val="0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0BFE"/>
    <w:rPr>
      <w:rFonts w:eastAsiaTheme="majorEastAsia" w:cstheme="majorBidi"/>
      <w:iCs/>
      <w:noProof/>
      <w:color w:val="2E74B5" w:themeColor="accent1" w:themeShade="BF"/>
      <w:sz w:val="32"/>
      <w:szCs w:val="32"/>
      <w:lang w:val="ro-RO" w:eastAsia="sk-SK"/>
    </w:rPr>
  </w:style>
  <w:style w:type="character" w:customStyle="1" w:styleId="Heading2Char">
    <w:name w:val="Heading 2 Char"/>
    <w:basedOn w:val="DefaultParagraphFont"/>
    <w:link w:val="Heading2"/>
    <w:uiPriority w:val="9"/>
    <w:rsid w:val="00B90BFE"/>
    <w:rPr>
      <w:rFonts w:eastAsiaTheme="majorEastAsia" w:cstheme="majorBidi"/>
      <w:iCs/>
      <w:noProof/>
      <w:color w:val="2E74B5" w:themeColor="accent1" w:themeShade="BF"/>
      <w:sz w:val="28"/>
      <w:szCs w:val="32"/>
      <w:lang w:val="ro-RO" w:eastAsia="sk-SK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uiPriority w:val="9"/>
    <w:rsid w:val="00B90BFE"/>
    <w:rPr>
      <w:rFonts w:asciiTheme="majorHAnsi" w:eastAsiaTheme="majorEastAsia" w:hAnsiTheme="majorHAnsi" w:cstheme="majorBidi"/>
      <w:iCs/>
      <w:noProof/>
      <w:sz w:val="24"/>
      <w:szCs w:val="24"/>
      <w:lang w:val="ro-RO" w:eastAsia="sk-SK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0BFE"/>
    <w:rPr>
      <w:rFonts w:asciiTheme="majorHAnsi" w:eastAsiaTheme="majorEastAsia" w:hAnsiTheme="majorHAnsi" w:cstheme="majorBidi"/>
      <w:i/>
      <w:noProof/>
      <w:color w:val="2E74B5" w:themeColor="accent1" w:themeShade="BF"/>
      <w:szCs w:val="24"/>
      <w:lang w:val="ro-RO" w:eastAsia="sk-S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0BFE"/>
    <w:rPr>
      <w:rFonts w:asciiTheme="majorHAnsi" w:eastAsiaTheme="majorEastAsia" w:hAnsiTheme="majorHAnsi" w:cstheme="majorBidi"/>
      <w:iCs/>
      <w:noProof/>
      <w:color w:val="2E74B5" w:themeColor="accent1" w:themeShade="BF"/>
      <w:szCs w:val="24"/>
      <w:lang w:val="ro-RO" w:eastAsia="sk-SK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0BFE"/>
    <w:rPr>
      <w:rFonts w:asciiTheme="majorHAnsi" w:eastAsiaTheme="majorEastAsia" w:hAnsiTheme="majorHAnsi" w:cstheme="majorBidi"/>
      <w:iCs/>
      <w:noProof/>
      <w:color w:val="1F4D78" w:themeColor="accent1" w:themeShade="7F"/>
      <w:szCs w:val="24"/>
      <w:lang w:val="ro-RO" w:eastAsia="sk-S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0BFE"/>
    <w:rPr>
      <w:rFonts w:asciiTheme="majorHAnsi" w:eastAsiaTheme="majorEastAsia" w:hAnsiTheme="majorHAnsi" w:cstheme="majorBidi"/>
      <w:i/>
      <w:noProof/>
      <w:color w:val="1F4D78" w:themeColor="accent1" w:themeShade="7F"/>
      <w:szCs w:val="24"/>
      <w:lang w:val="ro-RO" w:eastAsia="sk-S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0BFE"/>
    <w:rPr>
      <w:rFonts w:asciiTheme="majorHAnsi" w:eastAsiaTheme="majorEastAsia" w:hAnsiTheme="majorHAnsi" w:cstheme="majorBidi"/>
      <w:iCs/>
      <w:noProof/>
      <w:color w:val="272727" w:themeColor="text1" w:themeTint="D8"/>
      <w:sz w:val="21"/>
      <w:szCs w:val="21"/>
      <w:lang w:val="ro-RO" w:eastAsia="sk-S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BFE"/>
    <w:rPr>
      <w:rFonts w:asciiTheme="majorHAnsi" w:eastAsiaTheme="majorEastAsia" w:hAnsiTheme="majorHAnsi" w:cstheme="majorBidi"/>
      <w:i/>
      <w:noProof/>
      <w:color w:val="272727" w:themeColor="text1" w:themeTint="D8"/>
      <w:sz w:val="21"/>
      <w:szCs w:val="21"/>
      <w:lang w:val="ro-RO" w:eastAsia="sk-SK"/>
    </w:rPr>
  </w:style>
  <w:style w:type="paragraph" w:styleId="TOC1">
    <w:name w:val="toc 1"/>
    <w:basedOn w:val="Normal"/>
    <w:next w:val="Normal"/>
    <w:autoRedefine/>
    <w:uiPriority w:val="99"/>
    <w:rsid w:val="00014DF1"/>
    <w:pPr>
      <w:tabs>
        <w:tab w:val="left" w:pos="284"/>
        <w:tab w:val="right" w:leader="dot" w:pos="9062"/>
      </w:tabs>
      <w:spacing w:before="60"/>
    </w:pPr>
    <w:rPr>
      <w:b/>
      <w:szCs w:val="22"/>
    </w:rPr>
  </w:style>
  <w:style w:type="paragraph" w:styleId="TOC2">
    <w:name w:val="toc 2"/>
    <w:basedOn w:val="Normal"/>
    <w:next w:val="Normal"/>
    <w:autoRedefine/>
    <w:uiPriority w:val="99"/>
    <w:rsid w:val="00014DF1"/>
    <w:pPr>
      <w:tabs>
        <w:tab w:val="left" w:pos="567"/>
        <w:tab w:val="right" w:leader="dot" w:pos="9062"/>
      </w:tabs>
      <w:ind w:left="202"/>
    </w:pPr>
  </w:style>
  <w:style w:type="paragraph" w:styleId="TOC3">
    <w:name w:val="toc 3"/>
    <w:basedOn w:val="Normal"/>
    <w:next w:val="Normal"/>
    <w:autoRedefine/>
    <w:uiPriority w:val="99"/>
    <w:rsid w:val="00B90BFE"/>
    <w:pPr>
      <w:ind w:left="403"/>
    </w:pPr>
  </w:style>
  <w:style w:type="character" w:styleId="Emphasis">
    <w:name w:val="Emphasis"/>
    <w:uiPriority w:val="20"/>
    <w:qFormat/>
    <w:rsid w:val="00B90BFE"/>
    <w:rPr>
      <w:i/>
      <w:iCs/>
    </w:rPr>
  </w:style>
  <w:style w:type="paragraph" w:styleId="NoSpacing">
    <w:name w:val="No Spacing"/>
    <w:uiPriority w:val="99"/>
    <w:qFormat/>
    <w:rsid w:val="00B90BFE"/>
    <w:pPr>
      <w:spacing w:after="0" w:line="240" w:lineRule="auto"/>
      <w:jc w:val="both"/>
    </w:pPr>
    <w:rPr>
      <w:lang w:val="ro-RO" w:eastAsia="ro-RO"/>
    </w:rPr>
  </w:style>
  <w:style w:type="paragraph" w:styleId="ListParagraph">
    <w:name w:val="List Paragraph"/>
    <w:aliases w:val="Normal bullet 2,body 2,List Paragraph11,List Paragraph111,Antes de enumeración,Listă colorată - Accentuare 11,Bullet,Citation List"/>
    <w:basedOn w:val="Normal"/>
    <w:link w:val="ListParagraphChar"/>
    <w:uiPriority w:val="99"/>
    <w:qFormat/>
    <w:rsid w:val="00B90BFE"/>
    <w:pPr>
      <w:ind w:left="720"/>
      <w:contextualSpacing/>
    </w:pPr>
  </w:style>
  <w:style w:type="character" w:customStyle="1" w:styleId="ListParagraphChar">
    <w:name w:val="List Paragraph Char"/>
    <w:aliases w:val="Normal bullet 2 Char,body 2 Char,List Paragraph11 Char,List Paragraph111 Char,Antes de enumeración Char,Listă colorată - Accentuare 11 Char,Bullet Char,Citation List Char"/>
    <w:basedOn w:val="DefaultParagraphFont"/>
    <w:link w:val="ListParagraph"/>
    <w:uiPriority w:val="99"/>
    <w:locked/>
    <w:rsid w:val="00B90BFE"/>
    <w:rPr>
      <w:rFonts w:eastAsia="Times New Roman"/>
      <w:iCs/>
      <w:noProof/>
      <w:szCs w:val="24"/>
      <w:lang w:val="ro-RO" w:eastAsia="sk-SK"/>
    </w:rPr>
  </w:style>
  <w:style w:type="paragraph" w:styleId="TOCHeading">
    <w:name w:val="TOC Heading"/>
    <w:basedOn w:val="Heading1"/>
    <w:next w:val="Normal"/>
    <w:uiPriority w:val="99"/>
    <w:unhideWhenUsed/>
    <w:qFormat/>
    <w:rsid w:val="00B90BFE"/>
    <w:pPr>
      <w:numPr>
        <w:numId w:val="0"/>
      </w:numPr>
      <w:spacing w:before="240" w:after="0"/>
      <w:outlineLvl w:val="9"/>
    </w:pPr>
    <w:rPr>
      <w:rFonts w:asciiTheme="majorHAnsi" w:hAnsiTheme="majorHAnsi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90BFE"/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Reference,stile 1,Footnote1,ft,Footnote2,Footnote3"/>
    <w:basedOn w:val="Normal"/>
    <w:link w:val="FootnoteTextChar"/>
    <w:uiPriority w:val="99"/>
    <w:unhideWhenUsed/>
    <w:rsid w:val="00B90BFE"/>
    <w:rPr>
      <w:sz w:val="20"/>
      <w:szCs w:val="20"/>
    </w:rPr>
  </w:style>
  <w:style w:type="character" w:customStyle="1" w:styleId="FootnoteTextChar">
    <w:name w:val="Footnote Text Char"/>
    <w:aliases w:val="Footnote Text Char Char Char1,Fußnote Char2,single space Char1,FOOTNOTES Char1,fn Char2,Podrozdział Char1,Footnote Char1,fn Char Char Char Char1,fn Char Char Char2,fn Char Char2,Fußnote Char Char Char Char2,Fußnote Char Char,ft Char"/>
    <w:basedOn w:val="DefaultParagraphFont"/>
    <w:link w:val="FootnoteText"/>
    <w:uiPriority w:val="99"/>
    <w:rsid w:val="00B90BFE"/>
    <w:rPr>
      <w:rFonts w:eastAsia="Times New Roman"/>
      <w:iCs/>
      <w:noProof/>
      <w:sz w:val="20"/>
      <w:szCs w:val="20"/>
      <w:lang w:val="ro-RO" w:eastAsia="sk-SK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,Char1"/>
    <w:link w:val="BVIfnrChar1Char"/>
    <w:uiPriority w:val="99"/>
    <w:qFormat/>
    <w:rsid w:val="00B90BFE"/>
    <w:rPr>
      <w:vertAlign w:val="superscript"/>
    </w:rPr>
  </w:style>
  <w:style w:type="paragraph" w:customStyle="1" w:styleId="Default">
    <w:name w:val="Default"/>
    <w:uiPriority w:val="99"/>
    <w:rsid w:val="00B90B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o-RO"/>
    </w:rPr>
  </w:style>
  <w:style w:type="character" w:styleId="Hyperlink">
    <w:name w:val="Hyperlink"/>
    <w:uiPriority w:val="99"/>
    <w:unhideWhenUsed/>
    <w:rsid w:val="00B90BFE"/>
    <w:rPr>
      <w:color w:val="0000FF"/>
      <w:u w:val="single"/>
    </w:rPr>
  </w:style>
  <w:style w:type="paragraph" w:customStyle="1" w:styleId="Standard">
    <w:name w:val="Standard"/>
    <w:rsid w:val="00B90BFE"/>
    <w:pPr>
      <w:suppressAutoHyphens/>
      <w:spacing w:line="252" w:lineRule="auto"/>
      <w:jc w:val="both"/>
      <w:textAlignment w:val="baseline"/>
    </w:pPr>
    <w:rPr>
      <w:rFonts w:ascii="Calibri" w:hAnsi="Calibri" w:cs="Calibri"/>
      <w:kern w:val="1"/>
      <w:lang w:eastAsia="zh-CN"/>
    </w:rPr>
  </w:style>
  <w:style w:type="character" w:customStyle="1" w:styleId="FootnoteCharacters">
    <w:name w:val="Footnote Characters"/>
    <w:rsid w:val="00B90BF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90BFE"/>
    <w:pPr>
      <w:tabs>
        <w:tab w:val="center" w:pos="4703"/>
        <w:tab w:val="right" w:pos="94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90BFE"/>
    <w:rPr>
      <w:rFonts w:eastAsia="Times New Roman"/>
      <w:iCs/>
      <w:noProof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B90BFE"/>
    <w:pPr>
      <w:tabs>
        <w:tab w:val="center" w:pos="4703"/>
        <w:tab w:val="right" w:pos="940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0BFE"/>
    <w:rPr>
      <w:rFonts w:eastAsia="Times New Roman"/>
      <w:iCs/>
      <w:noProof/>
      <w:szCs w:val="24"/>
      <w:lang w:eastAsia="sk-SK"/>
    </w:rPr>
  </w:style>
  <w:style w:type="character" w:customStyle="1" w:styleId="hps">
    <w:name w:val="hps"/>
    <w:rsid w:val="00B90BFE"/>
  </w:style>
  <w:style w:type="character" w:styleId="Strong">
    <w:name w:val="Strong"/>
    <w:uiPriority w:val="22"/>
    <w:qFormat/>
    <w:rsid w:val="00B90BFE"/>
    <w:rPr>
      <w:b/>
      <w:bCs/>
    </w:rPr>
  </w:style>
  <w:style w:type="character" w:customStyle="1" w:styleId="Internetlink">
    <w:name w:val="Internet link"/>
    <w:rsid w:val="00B90BFE"/>
    <w:rPr>
      <w:color w:val="0000FF"/>
      <w:u w:val="single"/>
    </w:rPr>
  </w:style>
  <w:style w:type="character" w:customStyle="1" w:styleId="FootnoteSymbol">
    <w:name w:val="Footnote Symbol"/>
    <w:rsid w:val="00B90BFE"/>
    <w:rPr>
      <w:vertAlign w:val="superscript"/>
    </w:rPr>
  </w:style>
  <w:style w:type="paragraph" w:customStyle="1" w:styleId="ColorfulList-Accent11">
    <w:name w:val="Colorful List - Accent 11"/>
    <w:basedOn w:val="Standard"/>
    <w:rsid w:val="00B90BFE"/>
    <w:pPr>
      <w:ind w:left="720"/>
    </w:pPr>
  </w:style>
  <w:style w:type="paragraph" w:customStyle="1" w:styleId="E-Body1">
    <w:name w:val="E-Body 1"/>
    <w:basedOn w:val="Standard"/>
    <w:rsid w:val="00B90BFE"/>
  </w:style>
  <w:style w:type="paragraph" w:styleId="NormalWeb">
    <w:name w:val="Normal (Web)"/>
    <w:basedOn w:val="Normal"/>
    <w:uiPriority w:val="99"/>
    <w:unhideWhenUsed/>
    <w:rsid w:val="00B90BFE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99"/>
    <w:rsid w:val="00B90BF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BFE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FE"/>
    <w:rPr>
      <w:rFonts w:ascii="Tahoma" w:eastAsia="Times New Roman" w:hAnsi="Tahoma" w:cs="Tahoma"/>
      <w:iCs/>
      <w:noProof/>
      <w:sz w:val="16"/>
      <w:szCs w:val="16"/>
      <w:lang w:eastAsia="sk-SK"/>
    </w:rPr>
  </w:style>
  <w:style w:type="paragraph" w:customStyle="1" w:styleId="ListParagraph1">
    <w:name w:val="List Paragraph1"/>
    <w:basedOn w:val="Normal"/>
    <w:uiPriority w:val="34"/>
    <w:rsid w:val="00B90BFE"/>
    <w:pPr>
      <w:ind w:left="720"/>
      <w:contextualSpacing/>
    </w:pPr>
    <w:rPr>
      <w:lang w:val="en-US"/>
    </w:rPr>
  </w:style>
  <w:style w:type="character" w:customStyle="1" w:styleId="apple-converted-space">
    <w:name w:val="apple-converted-space"/>
    <w:rsid w:val="00B90BFE"/>
  </w:style>
  <w:style w:type="table" w:customStyle="1" w:styleId="GridTable4-Accent61">
    <w:name w:val="Grid Table 4 - Accent 61"/>
    <w:basedOn w:val="TableNormal"/>
    <w:uiPriority w:val="49"/>
    <w:rsid w:val="00B90BFE"/>
    <w:rPr>
      <w:rFonts w:ascii="Calibri" w:eastAsia="Calibri" w:hAnsi="Calibri"/>
      <w:lang w:val="ro-R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BodyText">
    <w:name w:val="Body Text"/>
    <w:basedOn w:val="Normal"/>
    <w:link w:val="BodyTextChar"/>
    <w:rsid w:val="00B90BFE"/>
    <w:rPr>
      <w:rFonts w:ascii="Times New Roman" w:hAnsi="Times New Roman"/>
      <w:sz w:val="24"/>
      <w:szCs w:val="20"/>
      <w:lang w:val="en-US" w:eastAsia="ro-RO"/>
    </w:rPr>
  </w:style>
  <w:style w:type="character" w:customStyle="1" w:styleId="BodyTextChar">
    <w:name w:val="Body Text Char"/>
    <w:basedOn w:val="DefaultParagraphFont"/>
    <w:link w:val="BodyText"/>
    <w:rsid w:val="00B90BFE"/>
    <w:rPr>
      <w:rFonts w:ascii="Times New Roman" w:eastAsia="Times New Roman" w:hAnsi="Times New Roman"/>
      <w:iCs/>
      <w:noProof/>
      <w:sz w:val="24"/>
      <w:szCs w:val="20"/>
      <w:lang w:eastAsia="ro-RO"/>
    </w:rPr>
  </w:style>
  <w:style w:type="paragraph" w:styleId="BodyText3">
    <w:name w:val="Body Text 3"/>
    <w:basedOn w:val="Normal"/>
    <w:link w:val="BodyText3Char"/>
    <w:rsid w:val="00B90BFE"/>
    <w:pPr>
      <w:jc w:val="center"/>
    </w:pPr>
    <w:rPr>
      <w:rFonts w:ascii="Times New Roman" w:hAnsi="Times New Roman"/>
      <w:b/>
      <w:sz w:val="24"/>
      <w:szCs w:val="20"/>
      <w:lang w:val="en-US" w:eastAsia="ro-RO"/>
    </w:rPr>
  </w:style>
  <w:style w:type="character" w:customStyle="1" w:styleId="BodyText3Char">
    <w:name w:val="Body Text 3 Char"/>
    <w:basedOn w:val="DefaultParagraphFont"/>
    <w:link w:val="BodyText3"/>
    <w:rsid w:val="00B90BFE"/>
    <w:rPr>
      <w:rFonts w:ascii="Times New Roman" w:eastAsia="Times New Roman" w:hAnsi="Times New Roman"/>
      <w:b/>
      <w:iCs/>
      <w:noProof/>
      <w:sz w:val="24"/>
      <w:szCs w:val="20"/>
      <w:lang w:eastAsia="ro-RO"/>
    </w:rPr>
  </w:style>
  <w:style w:type="paragraph" w:customStyle="1" w:styleId="CharCharChar1CharCharChar1">
    <w:name w:val="Char Char Char1 Char Char Char1"/>
    <w:aliases w:val="Char Char Char1 Char Caracter,Char Char Char1 Char Char Char Char"/>
    <w:basedOn w:val="Normal"/>
    <w:rsid w:val="00B90BFE"/>
    <w:rPr>
      <w:rFonts w:ascii="Times New Roman" w:hAnsi="Times New Roman"/>
      <w:sz w:val="24"/>
      <w:lang w:val="pl-PL" w:eastAsia="pl-PL"/>
    </w:rPr>
  </w:style>
  <w:style w:type="character" w:styleId="CommentReference">
    <w:name w:val="annotation reference"/>
    <w:uiPriority w:val="99"/>
    <w:semiHidden/>
    <w:unhideWhenUsed/>
    <w:rsid w:val="00B90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BFE"/>
    <w:pPr>
      <w:spacing w:after="200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BFE"/>
    <w:rPr>
      <w:rFonts w:ascii="Times New Roman" w:eastAsia="Times New Roman" w:hAnsi="Times New Roman"/>
      <w:iCs/>
      <w:noProof/>
      <w:sz w:val="20"/>
      <w:szCs w:val="20"/>
      <w:lang w:eastAsia="sk-SK"/>
    </w:rPr>
  </w:style>
  <w:style w:type="paragraph" w:customStyle="1" w:styleId="instruct">
    <w:name w:val="instruct"/>
    <w:basedOn w:val="Normal"/>
    <w:rsid w:val="00B90BFE"/>
    <w:pPr>
      <w:spacing w:before="40" w:after="40"/>
    </w:pPr>
    <w:rPr>
      <w:rFonts w:ascii="Trebuchet MS" w:hAnsi="Trebuchet MS" w:cs="Arial"/>
      <w:i/>
      <w:iCs w:val="0"/>
      <w:sz w:val="20"/>
      <w:szCs w:val="21"/>
    </w:rPr>
  </w:style>
  <w:style w:type="paragraph" w:customStyle="1" w:styleId="eval">
    <w:name w:val="eval"/>
    <w:basedOn w:val="Heading3"/>
    <w:rsid w:val="00B90BFE"/>
    <w:pPr>
      <w:numPr>
        <w:ilvl w:val="0"/>
      </w:numPr>
      <w:tabs>
        <w:tab w:val="num" w:pos="3600"/>
      </w:tabs>
      <w:ind w:left="3600" w:hanging="360"/>
    </w:pPr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BFE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BFE"/>
    <w:rPr>
      <w:rFonts w:ascii="Times New Roman" w:eastAsia="Times New Roman" w:hAnsi="Times New Roman"/>
      <w:b/>
      <w:bCs/>
      <w:iCs/>
      <w:noProof/>
      <w:sz w:val="20"/>
      <w:szCs w:val="20"/>
      <w:lang w:eastAsia="sk-SK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0BFE"/>
    <w:pPr>
      <w:spacing w:after="200"/>
    </w:pPr>
    <w:rPr>
      <w:i/>
      <w:iCs w:val="0"/>
      <w:color w:val="44546A" w:themeColor="text2"/>
      <w:sz w:val="18"/>
    </w:rPr>
  </w:style>
  <w:style w:type="paragraph" w:styleId="Revision">
    <w:name w:val="Revision"/>
    <w:hidden/>
    <w:uiPriority w:val="99"/>
    <w:semiHidden/>
    <w:rsid w:val="00B90BFE"/>
    <w:rPr>
      <w:rFonts w:ascii="Calibri" w:eastAsia="Calibri" w:hAnsi="Calibri"/>
      <w:lang w:val="ro-RO"/>
    </w:rPr>
  </w:style>
  <w:style w:type="paragraph" w:customStyle="1" w:styleId="criterii">
    <w:name w:val="criterii"/>
    <w:basedOn w:val="Normal"/>
    <w:rsid w:val="00B90BFE"/>
    <w:pPr>
      <w:shd w:val="clear" w:color="auto" w:fill="E6E6E6"/>
      <w:spacing w:before="240" w:after="120"/>
    </w:pPr>
    <w:rPr>
      <w:rFonts w:ascii="Trebuchet MS" w:hAnsi="Trebuchet MS"/>
      <w:b/>
      <w:bCs/>
      <w:snapToGrid w:val="0"/>
      <w:sz w:val="20"/>
    </w:rPr>
  </w:style>
  <w:style w:type="character" w:customStyle="1" w:styleId="FootnoteTextChar1">
    <w:name w:val="Footnote Text Char1"/>
    <w:aliases w:val="Footnote Text Char Char Char,Footnote Text Char Char1,Fußnote Char1,single space Char,FOOTNOTES Char,fn Char1,Podrozdział Char,Footnote Char,fn Char Char Char Char,fn Char Char Char1,fn Char Char1,Fußnote Char Char Char Char1"/>
    <w:basedOn w:val="DefaultParagraphFont"/>
    <w:uiPriority w:val="99"/>
    <w:semiHidden/>
    <w:rsid w:val="00B90BFE"/>
    <w:rPr>
      <w:rFonts w:ascii="Calibri" w:hAnsi="Calibri" w:cs="Calibri"/>
      <w:kern w:val="1"/>
      <w:sz w:val="20"/>
      <w:szCs w:val="20"/>
      <w:lang w:eastAsia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B90BFE"/>
    <w:pPr>
      <w:spacing w:line="240" w:lineRule="exact"/>
    </w:pPr>
    <w:rPr>
      <w:rFonts w:eastAsiaTheme="minorHAnsi"/>
      <w:iCs w:val="0"/>
      <w:noProof w:val="0"/>
      <w:szCs w:val="22"/>
      <w:vertAlign w:val="superscript"/>
      <w:lang w:val="en-US" w:eastAsia="en-US"/>
    </w:rPr>
  </w:style>
  <w:style w:type="paragraph" w:customStyle="1" w:styleId="Criteriu">
    <w:name w:val="Criteriu"/>
    <w:basedOn w:val="ListParagraph"/>
    <w:link w:val="CriteriuChar"/>
    <w:qFormat/>
    <w:rsid w:val="00B90BFE"/>
    <w:pPr>
      <w:numPr>
        <w:numId w:val="2"/>
      </w:numPr>
      <w:spacing w:before="480" w:after="120"/>
      <w:ind w:left="360"/>
    </w:pPr>
    <w:rPr>
      <w:b/>
    </w:rPr>
  </w:style>
  <w:style w:type="character" w:customStyle="1" w:styleId="CriteriuChar">
    <w:name w:val="Criteriu Char"/>
    <w:basedOn w:val="ListParagraphChar"/>
    <w:link w:val="Criteriu"/>
    <w:rsid w:val="00B90BFE"/>
    <w:rPr>
      <w:rFonts w:eastAsia="Times New Roman"/>
      <w:b/>
      <w:iCs/>
      <w:noProof/>
      <w:szCs w:val="24"/>
      <w:lang w:val="ro-RO" w:eastAsia="sk-SK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D6B0E"/>
    <w:pPr>
      <w:widowControl/>
      <w:pBdr>
        <w:top w:val="single" w:sz="4" w:space="10" w:color="5B9BD5"/>
        <w:bottom w:val="single" w:sz="4" w:space="10" w:color="5B9BD5"/>
      </w:pBdr>
      <w:autoSpaceDE/>
      <w:autoSpaceDN/>
      <w:adjustRightInd/>
      <w:spacing w:before="360" w:after="360" w:line="259" w:lineRule="auto"/>
      <w:ind w:left="864" w:right="864"/>
      <w:jc w:val="center"/>
    </w:pPr>
    <w:rPr>
      <w:rFonts w:ascii="Calibri" w:eastAsia="Calibri" w:hAnsi="Calibri" w:cs="Times New Roman"/>
      <w:i/>
      <w:noProof w:val="0"/>
      <w:color w:val="5B9BD5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0D6B0E"/>
    <w:rPr>
      <w:rFonts w:ascii="Calibri" w:eastAsia="Calibri" w:hAnsi="Calibri" w:cs="Times New Roman"/>
      <w:i/>
      <w:iCs/>
      <w:color w:val="5B9BD5"/>
      <w:lang w:val="ro-RO"/>
    </w:rPr>
  </w:style>
  <w:style w:type="character" w:styleId="PageNumber">
    <w:name w:val="page number"/>
    <w:basedOn w:val="DefaultParagraphFont"/>
    <w:uiPriority w:val="99"/>
    <w:rsid w:val="000D6B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83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2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2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7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6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0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424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29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69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455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06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934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77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96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749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19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81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94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453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83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4BF88-BF00-47E1-BDE9-13D6E750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4412</Words>
  <Characters>25593</Characters>
  <Application>Microsoft Office Word</Application>
  <DocSecurity>0</DocSecurity>
  <Lines>213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Andreia Anton</cp:lastModifiedBy>
  <cp:revision>3</cp:revision>
  <dcterms:created xsi:type="dcterms:W3CDTF">2018-09-20T09:56:00Z</dcterms:created>
  <dcterms:modified xsi:type="dcterms:W3CDTF">2018-09-21T14:23:00Z</dcterms:modified>
</cp:coreProperties>
</file>